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88658">
      <w:pPr>
        <w:keepNext w:val="0"/>
        <w:keepLines w:val="0"/>
        <w:widowControl/>
        <w:suppressLineNumbers w:val="0"/>
        <w:jc w:val="center"/>
        <w:textAlignment w:val="center"/>
        <w:rPr>
          <w:rFonts w:hint="default" w:ascii="宋体" w:hAnsi="宋体" w:eastAsia="宋体" w:cs="宋体"/>
          <w:b/>
          <w:bCs/>
          <w:i w:val="0"/>
          <w:iCs w:val="0"/>
          <w:color w:val="auto"/>
          <w:kern w:val="0"/>
          <w:sz w:val="30"/>
          <w:szCs w:val="30"/>
          <w:u w:val="none"/>
          <w:lang w:val="en-US" w:eastAsia="zh-CN" w:bidi="ar"/>
        </w:rPr>
      </w:pPr>
      <w:r>
        <w:rPr>
          <w:rFonts w:hint="eastAsia" w:ascii="宋体" w:hAnsi="宋体" w:cs="宋体"/>
          <w:b/>
          <w:bCs/>
          <w:i w:val="0"/>
          <w:iCs w:val="0"/>
          <w:color w:val="auto"/>
          <w:kern w:val="0"/>
          <w:sz w:val="30"/>
          <w:szCs w:val="30"/>
          <w:u w:val="none"/>
          <w:lang w:val="en-US" w:eastAsia="zh-CN" w:bidi="ar"/>
        </w:rPr>
        <w:t>采购需求</w:t>
      </w:r>
    </w:p>
    <w:p w14:paraId="0551A5A7">
      <w:pPr>
        <w:keepNext w:val="0"/>
        <w:keepLines w:val="0"/>
        <w:widowControl/>
        <w:suppressLineNumbers w:val="0"/>
        <w:jc w:val="left"/>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项目名称：琼海市职业中等专业学校教学设备采购的采购项目</w:t>
      </w:r>
    </w:p>
    <w:p w14:paraId="516B7202">
      <w:pPr>
        <w:keepNext w:val="0"/>
        <w:keepLines w:val="0"/>
        <w:widowControl/>
        <w:suppressLineNumbers w:val="0"/>
        <w:jc w:val="left"/>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项目编号：HNJY2025-56-18</w:t>
      </w:r>
    </w:p>
    <w:p w14:paraId="6E3D0436">
      <w:pPr>
        <w:keepNext w:val="0"/>
        <w:keepLines w:val="0"/>
        <w:widowControl/>
        <w:suppressLineNumbers w:val="0"/>
        <w:jc w:val="left"/>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B包：电工实训室教</w:t>
      </w:r>
      <w:bookmarkStart w:id="0" w:name="_GoBack"/>
      <w:bookmarkEnd w:id="0"/>
      <w:r>
        <w:rPr>
          <w:rFonts w:hint="eastAsia" w:ascii="宋体" w:hAnsi="宋体" w:eastAsia="宋体" w:cs="宋体"/>
          <w:b/>
          <w:bCs/>
          <w:i w:val="0"/>
          <w:iCs w:val="0"/>
          <w:color w:val="auto"/>
          <w:kern w:val="0"/>
          <w:sz w:val="24"/>
          <w:szCs w:val="24"/>
          <w:u w:val="none"/>
          <w:lang w:val="en-US" w:eastAsia="zh-CN" w:bidi="ar"/>
        </w:rPr>
        <w:t>学设备采购</w:t>
      </w:r>
    </w:p>
    <w:p w14:paraId="4A4D0D6A">
      <w:pPr>
        <w:keepNext w:val="0"/>
        <w:keepLines w:val="0"/>
        <w:widowControl/>
        <w:suppressLineNumbers w:val="0"/>
        <w:jc w:val="left"/>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 xml:space="preserve">核心产品：空调制冷综合实训装置 </w:t>
      </w:r>
    </w:p>
    <w:tbl>
      <w:tblPr>
        <w:tblStyle w:val="2"/>
        <w:tblW w:w="5000" w:type="pct"/>
        <w:tblInd w:w="0" w:type="dxa"/>
        <w:tblLayout w:type="fixed"/>
        <w:tblCellMar>
          <w:top w:w="0" w:type="dxa"/>
          <w:left w:w="108" w:type="dxa"/>
          <w:bottom w:w="0" w:type="dxa"/>
          <w:right w:w="108" w:type="dxa"/>
        </w:tblCellMar>
      </w:tblPr>
      <w:tblGrid>
        <w:gridCol w:w="644"/>
        <w:gridCol w:w="1304"/>
        <w:gridCol w:w="5207"/>
        <w:gridCol w:w="675"/>
        <w:gridCol w:w="8"/>
        <w:gridCol w:w="684"/>
      </w:tblGrid>
      <w:tr w14:paraId="07AC80B8">
        <w:tblPrEx>
          <w:tblCellMar>
            <w:top w:w="0" w:type="dxa"/>
            <w:left w:w="108" w:type="dxa"/>
            <w:bottom w:w="0" w:type="dxa"/>
            <w:right w:w="108" w:type="dxa"/>
          </w:tblCellMar>
        </w:tblPrEx>
        <w:trPr>
          <w:trHeight w:val="489"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27F9A086">
            <w:pPr>
              <w:widowControl/>
              <w:jc w:val="left"/>
              <w:textAlignment w:val="center"/>
              <w:rPr>
                <w:rFonts w:hint="eastAsia" w:ascii="宋体" w:hAnsi="宋体" w:eastAsia="宋体" w:cs="宋体"/>
                <w:b/>
                <w:color w:val="000000"/>
                <w:kern w:val="0"/>
                <w:sz w:val="18"/>
                <w:szCs w:val="18"/>
                <w:lang w:bidi="ar"/>
              </w:rPr>
            </w:pPr>
            <w:r>
              <w:rPr>
                <w:rFonts w:hint="eastAsia" w:ascii="宋体" w:hAnsi="宋体" w:eastAsia="宋体" w:cs="宋体"/>
                <w:b/>
                <w:bCs/>
                <w:color w:val="auto"/>
                <w:kern w:val="0"/>
                <w:sz w:val="18"/>
                <w:szCs w:val="18"/>
                <w:lang w:bidi="ar"/>
              </w:rPr>
              <w:t>序号</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69C1DBEC">
            <w:pPr>
              <w:widowControl/>
              <w:jc w:val="center"/>
              <w:textAlignment w:val="center"/>
              <w:rPr>
                <w:rFonts w:hint="eastAsia" w:ascii="宋体" w:hAnsi="宋体" w:eastAsia="宋体" w:cs="宋体"/>
                <w:b/>
                <w:color w:val="000000"/>
                <w:kern w:val="0"/>
                <w:sz w:val="18"/>
                <w:szCs w:val="18"/>
                <w:lang w:bidi="ar"/>
              </w:rPr>
            </w:pPr>
            <w:r>
              <w:rPr>
                <w:rFonts w:hint="eastAsia" w:ascii="宋体" w:hAnsi="宋体" w:eastAsia="宋体" w:cs="宋体"/>
                <w:b/>
                <w:bCs/>
                <w:color w:val="auto"/>
                <w:kern w:val="0"/>
                <w:sz w:val="18"/>
                <w:szCs w:val="18"/>
                <w:lang w:bidi="ar"/>
              </w:rPr>
              <w:t>采购品目名称</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4E5EDEB5">
            <w:pPr>
              <w:widowControl/>
              <w:jc w:val="center"/>
              <w:textAlignment w:val="center"/>
              <w:rPr>
                <w:rFonts w:hint="eastAsia" w:ascii="宋体" w:hAnsi="宋体" w:eastAsia="宋体" w:cs="宋体"/>
                <w:b/>
                <w:color w:val="000000"/>
                <w:kern w:val="0"/>
                <w:sz w:val="18"/>
                <w:szCs w:val="18"/>
                <w:lang w:bidi="ar"/>
              </w:rPr>
            </w:pPr>
            <w:r>
              <w:rPr>
                <w:rFonts w:hint="eastAsia" w:ascii="宋体" w:hAnsi="宋体" w:eastAsia="宋体" w:cs="宋体"/>
                <w:b/>
                <w:bCs/>
                <w:color w:val="auto"/>
                <w:kern w:val="0"/>
                <w:sz w:val="18"/>
                <w:szCs w:val="18"/>
                <w:lang w:val="en-US" w:eastAsia="zh-CN" w:bidi="ar"/>
              </w:rPr>
              <w:t>参考品牌型号及详细</w:t>
            </w:r>
            <w:r>
              <w:rPr>
                <w:rFonts w:hint="eastAsia" w:ascii="宋体" w:hAnsi="宋体" w:eastAsia="宋体" w:cs="宋体"/>
                <w:b/>
                <w:bCs/>
                <w:color w:val="auto"/>
                <w:kern w:val="0"/>
                <w:sz w:val="18"/>
                <w:szCs w:val="18"/>
                <w:lang w:bidi="ar"/>
              </w:rPr>
              <w:t>技术参数</w:t>
            </w:r>
          </w:p>
        </w:tc>
        <w:tc>
          <w:tcPr>
            <w:tcW w:w="683" w:type="dxa"/>
            <w:gridSpan w:val="2"/>
            <w:tcBorders>
              <w:top w:val="single" w:color="000000" w:sz="4" w:space="0"/>
              <w:left w:val="single" w:color="000000" w:sz="4" w:space="0"/>
              <w:bottom w:val="single" w:color="000000" w:sz="4" w:space="0"/>
              <w:right w:val="single" w:color="000000" w:sz="4" w:space="0"/>
            </w:tcBorders>
            <w:noWrap w:val="0"/>
            <w:vAlign w:val="center"/>
          </w:tcPr>
          <w:p w14:paraId="6BE0FC15">
            <w:pPr>
              <w:widowControl/>
              <w:jc w:val="left"/>
              <w:textAlignment w:val="center"/>
              <w:rPr>
                <w:rFonts w:hint="eastAsia" w:ascii="宋体" w:hAnsi="宋体" w:eastAsia="宋体" w:cs="宋体"/>
                <w:b/>
                <w:color w:val="000000"/>
                <w:kern w:val="0"/>
                <w:sz w:val="18"/>
                <w:szCs w:val="18"/>
                <w:lang w:bidi="ar"/>
              </w:rPr>
            </w:pPr>
            <w:r>
              <w:rPr>
                <w:rFonts w:hint="eastAsia" w:ascii="宋体" w:hAnsi="宋体" w:eastAsia="宋体" w:cs="宋体"/>
                <w:b/>
                <w:bCs/>
                <w:color w:val="auto"/>
                <w:kern w:val="0"/>
                <w:sz w:val="18"/>
                <w:szCs w:val="18"/>
                <w:lang w:bidi="ar"/>
              </w:rPr>
              <w:t>单位</w:t>
            </w:r>
          </w:p>
        </w:tc>
        <w:tc>
          <w:tcPr>
            <w:tcW w:w="684" w:type="dxa"/>
            <w:tcBorders>
              <w:top w:val="single" w:color="000000" w:sz="4" w:space="0"/>
              <w:left w:val="single" w:color="000000" w:sz="4" w:space="0"/>
              <w:bottom w:val="single" w:color="000000" w:sz="4" w:space="0"/>
              <w:right w:val="single" w:color="000000" w:sz="4" w:space="0"/>
            </w:tcBorders>
            <w:noWrap w:val="0"/>
            <w:vAlign w:val="center"/>
          </w:tcPr>
          <w:p w14:paraId="475DB6EA">
            <w:pPr>
              <w:widowControl/>
              <w:jc w:val="left"/>
              <w:textAlignment w:val="center"/>
              <w:rPr>
                <w:rFonts w:hint="eastAsia" w:ascii="宋体" w:hAnsi="宋体" w:eastAsia="宋体" w:cs="宋体"/>
                <w:b/>
                <w:color w:val="000000"/>
                <w:kern w:val="0"/>
                <w:sz w:val="18"/>
                <w:szCs w:val="18"/>
                <w:lang w:bidi="ar"/>
              </w:rPr>
            </w:pPr>
            <w:r>
              <w:rPr>
                <w:rFonts w:hint="eastAsia" w:ascii="宋体" w:hAnsi="宋体" w:eastAsia="宋体" w:cs="宋体"/>
                <w:b/>
                <w:bCs/>
                <w:color w:val="auto"/>
                <w:kern w:val="0"/>
                <w:sz w:val="18"/>
                <w:szCs w:val="18"/>
                <w:lang w:bidi="ar"/>
              </w:rPr>
              <w:t>数量</w:t>
            </w:r>
          </w:p>
        </w:tc>
      </w:tr>
      <w:tr w14:paraId="05862C32">
        <w:tblPrEx>
          <w:tblCellMar>
            <w:top w:w="0" w:type="dxa"/>
            <w:left w:w="108" w:type="dxa"/>
            <w:bottom w:w="0" w:type="dxa"/>
            <w:right w:w="108" w:type="dxa"/>
          </w:tblCellMar>
        </w:tblPrEx>
        <w:trPr>
          <w:trHeight w:val="489" w:hRule="atLeast"/>
        </w:trPr>
        <w:tc>
          <w:tcPr>
            <w:tcW w:w="8522" w:type="dxa"/>
            <w:gridSpan w:val="6"/>
            <w:tcBorders>
              <w:top w:val="single" w:color="000000" w:sz="4" w:space="0"/>
              <w:left w:val="single" w:color="000000" w:sz="4" w:space="0"/>
              <w:bottom w:val="single" w:color="000000" w:sz="4" w:space="0"/>
              <w:right w:val="single" w:color="000000" w:sz="4" w:space="0"/>
            </w:tcBorders>
            <w:noWrap w:val="0"/>
            <w:vAlign w:val="center"/>
          </w:tcPr>
          <w:p w14:paraId="297461C7">
            <w:pPr>
              <w:widowControl/>
              <w:jc w:val="left"/>
              <w:textAlignment w:val="center"/>
              <w:rPr>
                <w:rFonts w:hint="eastAsia" w:ascii="宋体" w:hAnsi="宋体" w:eastAsia="宋体" w:cs="宋体"/>
                <w:b/>
                <w:color w:val="000000"/>
                <w:kern w:val="0"/>
                <w:sz w:val="18"/>
                <w:szCs w:val="18"/>
                <w:lang w:bidi="ar"/>
              </w:rPr>
            </w:pPr>
            <w:r>
              <w:rPr>
                <w:rFonts w:hint="eastAsia" w:ascii="宋体" w:hAnsi="宋体" w:eastAsia="宋体" w:cs="宋体"/>
                <w:b/>
                <w:color w:val="000000"/>
                <w:kern w:val="0"/>
                <w:sz w:val="18"/>
                <w:szCs w:val="18"/>
                <w:lang w:bidi="ar"/>
              </w:rPr>
              <w:t>电工实训室教学设备采购</w:t>
            </w:r>
          </w:p>
        </w:tc>
      </w:tr>
      <w:tr w14:paraId="42785AC7">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16B76A84">
            <w:pPr>
              <w:widowControl/>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bidi="ar"/>
              </w:rPr>
              <w:t>1</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4CFE05FA">
            <w:pPr>
              <w:widowControl/>
              <w:jc w:val="center"/>
              <w:textAlignment w:val="center"/>
              <w:rPr>
                <w:rFonts w:hint="eastAsia" w:ascii="宋体" w:hAnsi="宋体" w:eastAsia="宋体" w:cs="宋体"/>
                <w:color w:val="000000"/>
                <w:kern w:val="0"/>
                <w:sz w:val="18"/>
                <w:szCs w:val="18"/>
                <w:lang w:bidi="ar"/>
              </w:rPr>
            </w:pPr>
          </w:p>
          <w:p w14:paraId="6EECD9B4">
            <w:pPr>
              <w:widowControl/>
              <w:jc w:val="center"/>
              <w:textAlignment w:val="center"/>
              <w:rPr>
                <w:rFonts w:hint="eastAsia" w:ascii="宋体" w:hAnsi="宋体" w:eastAsia="宋体" w:cs="宋体"/>
                <w:color w:val="000000"/>
                <w:kern w:val="0"/>
                <w:sz w:val="18"/>
                <w:szCs w:val="18"/>
                <w:lang w:bidi="ar"/>
              </w:rPr>
            </w:pPr>
          </w:p>
          <w:p w14:paraId="0B6941B7">
            <w:pPr>
              <w:widowControl/>
              <w:jc w:val="center"/>
              <w:textAlignment w:val="center"/>
              <w:rPr>
                <w:rFonts w:hint="eastAsia" w:ascii="宋体" w:hAnsi="宋体" w:eastAsia="宋体" w:cs="宋体"/>
                <w:color w:val="000000"/>
                <w:kern w:val="0"/>
                <w:sz w:val="18"/>
                <w:szCs w:val="18"/>
                <w:lang w:bidi="ar"/>
              </w:rPr>
            </w:pPr>
          </w:p>
          <w:p w14:paraId="5213278C">
            <w:pPr>
              <w:widowControl/>
              <w:jc w:val="center"/>
              <w:textAlignment w:val="center"/>
              <w:rPr>
                <w:rFonts w:hint="eastAsia" w:ascii="宋体" w:hAnsi="宋体" w:eastAsia="宋体" w:cs="宋体"/>
                <w:color w:val="000000"/>
                <w:kern w:val="0"/>
                <w:sz w:val="18"/>
                <w:szCs w:val="18"/>
                <w:lang w:bidi="ar"/>
              </w:rPr>
            </w:pPr>
          </w:p>
          <w:p w14:paraId="4BD4EF48">
            <w:pPr>
              <w:widowControl/>
              <w:jc w:val="center"/>
              <w:textAlignment w:val="center"/>
              <w:rPr>
                <w:rFonts w:hint="eastAsia" w:ascii="宋体" w:hAnsi="宋体" w:eastAsia="宋体" w:cs="宋体"/>
                <w:color w:val="000000"/>
                <w:kern w:val="0"/>
                <w:sz w:val="18"/>
                <w:szCs w:val="18"/>
                <w:lang w:bidi="ar"/>
              </w:rPr>
            </w:pPr>
          </w:p>
          <w:p w14:paraId="38371F77">
            <w:pPr>
              <w:widowControl/>
              <w:jc w:val="center"/>
              <w:textAlignment w:val="center"/>
              <w:rPr>
                <w:rFonts w:hint="eastAsia" w:ascii="宋体" w:hAnsi="宋体" w:eastAsia="宋体" w:cs="宋体"/>
                <w:color w:val="000000"/>
                <w:kern w:val="0"/>
                <w:sz w:val="18"/>
                <w:szCs w:val="18"/>
                <w:lang w:bidi="ar"/>
              </w:rPr>
            </w:pPr>
          </w:p>
          <w:p w14:paraId="2C104A01">
            <w:pPr>
              <w:widowControl/>
              <w:jc w:val="center"/>
              <w:textAlignment w:val="center"/>
              <w:rPr>
                <w:rFonts w:hint="eastAsia" w:ascii="宋体" w:hAnsi="宋体" w:eastAsia="宋体" w:cs="宋体"/>
                <w:color w:val="000000"/>
                <w:kern w:val="0"/>
                <w:sz w:val="18"/>
                <w:szCs w:val="18"/>
                <w:lang w:bidi="ar"/>
              </w:rPr>
            </w:pPr>
          </w:p>
          <w:p w14:paraId="058550AA">
            <w:pPr>
              <w:widowControl/>
              <w:jc w:val="center"/>
              <w:textAlignment w:val="center"/>
              <w:rPr>
                <w:rFonts w:hint="eastAsia" w:ascii="宋体" w:hAnsi="宋体" w:eastAsia="宋体" w:cs="宋体"/>
                <w:color w:val="000000"/>
                <w:kern w:val="0"/>
                <w:sz w:val="18"/>
                <w:szCs w:val="18"/>
                <w:lang w:bidi="ar"/>
              </w:rPr>
            </w:pPr>
          </w:p>
          <w:p w14:paraId="340FA6CC">
            <w:pPr>
              <w:widowControl/>
              <w:jc w:val="center"/>
              <w:textAlignment w:val="center"/>
              <w:rPr>
                <w:rFonts w:hint="eastAsia" w:ascii="宋体" w:hAnsi="宋体" w:eastAsia="宋体" w:cs="宋体"/>
                <w:color w:val="000000"/>
                <w:kern w:val="0"/>
                <w:sz w:val="18"/>
                <w:szCs w:val="18"/>
                <w:lang w:bidi="ar"/>
              </w:rPr>
            </w:pPr>
          </w:p>
          <w:p w14:paraId="7F561339">
            <w:pPr>
              <w:widowControl/>
              <w:jc w:val="center"/>
              <w:textAlignment w:val="center"/>
              <w:rPr>
                <w:rFonts w:hint="eastAsia" w:ascii="宋体" w:hAnsi="宋体" w:eastAsia="宋体" w:cs="宋体"/>
                <w:color w:val="000000"/>
                <w:kern w:val="0"/>
                <w:sz w:val="18"/>
                <w:szCs w:val="18"/>
                <w:lang w:bidi="ar"/>
              </w:rPr>
            </w:pPr>
          </w:p>
          <w:p w14:paraId="2DCD7D92">
            <w:pPr>
              <w:widowControl/>
              <w:jc w:val="center"/>
              <w:textAlignment w:val="center"/>
              <w:rPr>
                <w:rFonts w:hint="eastAsia" w:ascii="宋体" w:hAnsi="宋体" w:eastAsia="宋体" w:cs="宋体"/>
                <w:color w:val="000000"/>
                <w:kern w:val="0"/>
                <w:sz w:val="18"/>
                <w:szCs w:val="18"/>
                <w:lang w:bidi="ar"/>
              </w:rPr>
            </w:pPr>
          </w:p>
          <w:p w14:paraId="7D4312CB">
            <w:pPr>
              <w:widowControl/>
              <w:jc w:val="center"/>
              <w:textAlignment w:val="center"/>
              <w:rPr>
                <w:rFonts w:hint="eastAsia" w:ascii="宋体" w:hAnsi="宋体" w:eastAsia="宋体" w:cs="宋体"/>
                <w:color w:val="000000"/>
                <w:kern w:val="0"/>
                <w:sz w:val="18"/>
                <w:szCs w:val="18"/>
                <w:lang w:bidi="ar"/>
              </w:rPr>
            </w:pPr>
          </w:p>
          <w:p w14:paraId="74101D40">
            <w:pPr>
              <w:widowControl/>
              <w:jc w:val="center"/>
              <w:textAlignment w:val="center"/>
              <w:rPr>
                <w:rFonts w:hint="eastAsia" w:ascii="宋体" w:hAnsi="宋体" w:eastAsia="宋体" w:cs="宋体"/>
                <w:color w:val="000000"/>
                <w:kern w:val="0"/>
                <w:sz w:val="18"/>
                <w:szCs w:val="18"/>
                <w:lang w:bidi="ar"/>
              </w:rPr>
            </w:pPr>
          </w:p>
          <w:p w14:paraId="2BB3735B">
            <w:pPr>
              <w:widowControl/>
              <w:jc w:val="center"/>
              <w:textAlignment w:val="center"/>
              <w:rPr>
                <w:rFonts w:hint="eastAsia" w:ascii="宋体" w:hAnsi="宋体" w:eastAsia="宋体" w:cs="宋体"/>
                <w:color w:val="000000"/>
                <w:kern w:val="0"/>
                <w:sz w:val="18"/>
                <w:szCs w:val="18"/>
                <w:lang w:bidi="ar"/>
              </w:rPr>
            </w:pPr>
          </w:p>
          <w:p w14:paraId="0C16F420">
            <w:pPr>
              <w:widowControl/>
              <w:jc w:val="center"/>
              <w:textAlignment w:val="center"/>
              <w:rPr>
                <w:rFonts w:hint="eastAsia" w:ascii="宋体" w:hAnsi="宋体" w:eastAsia="宋体" w:cs="宋体"/>
                <w:color w:val="000000"/>
                <w:kern w:val="0"/>
                <w:sz w:val="18"/>
                <w:szCs w:val="18"/>
                <w:lang w:bidi="ar"/>
              </w:rPr>
            </w:pPr>
          </w:p>
          <w:p w14:paraId="5412D3FC">
            <w:pPr>
              <w:widowControl/>
              <w:jc w:val="center"/>
              <w:textAlignment w:val="center"/>
              <w:rPr>
                <w:rFonts w:hint="eastAsia" w:ascii="宋体" w:hAnsi="宋体" w:eastAsia="宋体" w:cs="宋体"/>
                <w:color w:val="000000"/>
                <w:kern w:val="0"/>
                <w:sz w:val="18"/>
                <w:szCs w:val="18"/>
                <w:lang w:bidi="ar"/>
              </w:rPr>
            </w:pPr>
          </w:p>
          <w:p w14:paraId="2C2993C5">
            <w:pPr>
              <w:widowControl/>
              <w:jc w:val="center"/>
              <w:textAlignment w:val="center"/>
              <w:rPr>
                <w:rFonts w:hint="eastAsia" w:ascii="宋体" w:hAnsi="宋体" w:eastAsia="宋体" w:cs="宋体"/>
                <w:color w:val="000000"/>
                <w:kern w:val="0"/>
                <w:sz w:val="18"/>
                <w:szCs w:val="18"/>
                <w:lang w:bidi="ar"/>
              </w:rPr>
            </w:pPr>
          </w:p>
          <w:p w14:paraId="6DBCB71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bdr w:val="single" w:color="000000" w:sz="4" w:space="0"/>
                <w:lang w:bidi="ar"/>
              </w:rPr>
              <w:drawing>
                <wp:anchor distT="0" distB="0" distL="114300" distR="114300" simplePos="0" relativeHeight="251659264" behindDoc="0" locked="0" layoutInCell="1" allowOverlap="1">
                  <wp:simplePos x="0" y="0"/>
                  <wp:positionH relativeFrom="column">
                    <wp:posOffset>85090</wp:posOffset>
                  </wp:positionH>
                  <wp:positionV relativeFrom="paragraph">
                    <wp:posOffset>0</wp:posOffset>
                  </wp:positionV>
                  <wp:extent cx="9525" cy="30480"/>
                  <wp:effectExtent l="0" t="0" r="0" b="0"/>
                  <wp:wrapNone/>
                  <wp:docPr id="42" name="图片 23"/>
                  <wp:cNvGraphicFramePr/>
                  <a:graphic xmlns:a="http://schemas.openxmlformats.org/drawingml/2006/main">
                    <a:graphicData uri="http://schemas.openxmlformats.org/drawingml/2006/picture">
                      <pic:pic xmlns:pic="http://schemas.openxmlformats.org/drawingml/2006/picture">
                        <pic:nvPicPr>
                          <pic:cNvPr id="42" name="图片 23"/>
                          <pic:cNvPicPr/>
                        </pic:nvPicPr>
                        <pic:blipFill>
                          <a:blip r:embed="rId4"/>
                          <a:stretch>
                            <a:fillRect/>
                          </a:stretch>
                        </pic:blipFill>
                        <pic:spPr>
                          <a:xfrm>
                            <a:off x="0" y="0"/>
                            <a:ext cx="9525" cy="30480"/>
                          </a:xfrm>
                          <a:prstGeom prst="rect">
                            <a:avLst/>
                          </a:prstGeom>
                          <a:noFill/>
                          <a:ln>
                            <a:noFill/>
                          </a:ln>
                        </pic:spPr>
                      </pic:pic>
                    </a:graphicData>
                  </a:graphic>
                </wp:anchor>
              </w:drawing>
            </w:r>
            <w:r>
              <w:rPr>
                <w:rFonts w:hint="eastAsia" w:ascii="宋体" w:hAnsi="宋体" w:eastAsia="宋体" w:cs="宋体"/>
                <w:color w:val="000000"/>
                <w:kern w:val="0"/>
                <w:sz w:val="18"/>
                <w:szCs w:val="18"/>
                <w:bdr w:val="single" w:color="000000" w:sz="4" w:space="0"/>
                <w:lang w:bidi="ar"/>
              </w:rPr>
              <w:drawing>
                <wp:anchor distT="0" distB="0" distL="114300" distR="114300" simplePos="0" relativeHeight="251660288" behindDoc="0" locked="0" layoutInCell="1" allowOverlap="1">
                  <wp:simplePos x="0" y="0"/>
                  <wp:positionH relativeFrom="column">
                    <wp:posOffset>85090</wp:posOffset>
                  </wp:positionH>
                  <wp:positionV relativeFrom="paragraph">
                    <wp:posOffset>0</wp:posOffset>
                  </wp:positionV>
                  <wp:extent cx="9525" cy="31750"/>
                  <wp:effectExtent l="0" t="0" r="0" b="0"/>
                  <wp:wrapNone/>
                  <wp:docPr id="45" name="图片 24"/>
                  <wp:cNvGraphicFramePr/>
                  <a:graphic xmlns:a="http://schemas.openxmlformats.org/drawingml/2006/main">
                    <a:graphicData uri="http://schemas.openxmlformats.org/drawingml/2006/picture">
                      <pic:pic xmlns:pic="http://schemas.openxmlformats.org/drawingml/2006/picture">
                        <pic:nvPicPr>
                          <pic:cNvPr id="45" name="图片 24"/>
                          <pic:cNvPicPr/>
                        </pic:nvPicPr>
                        <pic:blipFill>
                          <a:blip r:embed="rId4"/>
                          <a:stretch>
                            <a:fillRect/>
                          </a:stretch>
                        </pic:blipFill>
                        <pic:spPr>
                          <a:xfrm>
                            <a:off x="0" y="0"/>
                            <a:ext cx="9525" cy="31750"/>
                          </a:xfrm>
                          <a:prstGeom prst="rect">
                            <a:avLst/>
                          </a:prstGeom>
                          <a:noFill/>
                          <a:ln>
                            <a:noFill/>
                          </a:ln>
                        </pic:spPr>
                      </pic:pic>
                    </a:graphicData>
                  </a:graphic>
                </wp:anchor>
              </w:drawing>
            </w:r>
            <w:r>
              <w:rPr>
                <w:rFonts w:hint="eastAsia" w:ascii="宋体" w:hAnsi="宋体" w:eastAsia="宋体" w:cs="宋体"/>
                <w:color w:val="000000"/>
                <w:kern w:val="0"/>
                <w:sz w:val="18"/>
                <w:szCs w:val="18"/>
                <w:lang w:bidi="ar"/>
              </w:rPr>
              <w:t>电气装配实训装置</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1091EBFE">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74624" behindDoc="0" locked="0" layoutInCell="1" allowOverlap="1">
                  <wp:simplePos x="0" y="0"/>
                  <wp:positionH relativeFrom="column">
                    <wp:posOffset>0</wp:posOffset>
                  </wp:positionH>
                  <wp:positionV relativeFrom="paragraph">
                    <wp:posOffset>0</wp:posOffset>
                  </wp:positionV>
                  <wp:extent cx="1905" cy="30480"/>
                  <wp:effectExtent l="0" t="0" r="0" b="0"/>
                  <wp:wrapNone/>
                  <wp:docPr id="35" name="图片 25"/>
                  <wp:cNvGraphicFramePr/>
                  <a:graphic xmlns:a="http://schemas.openxmlformats.org/drawingml/2006/main">
                    <a:graphicData uri="http://schemas.openxmlformats.org/drawingml/2006/picture">
                      <pic:pic xmlns:pic="http://schemas.openxmlformats.org/drawingml/2006/picture">
                        <pic:nvPicPr>
                          <pic:cNvPr id="35" name="图片 25"/>
                          <pic:cNvPicPr/>
                        </pic:nvPicPr>
                        <pic:blipFill>
                          <a:blip r:embed="rId5"/>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lang w:val="en-US" w:eastAsia="zh-CN" w:bidi="ar"/>
              </w:rPr>
              <w:t>一、设备概述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设备由钢板作制作的多功能安装板（网孔板）设备和电源装置等组成。实训时选择的各种元件、器件和部件，可方便地安装在网孔板上，方便灵活。</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根据教学和实训的需要，选择不同的元件、器件和部件，可进行不同课程模块，不同项目的实训，本设备适用范围广，可完成的教学内容和实训项目多。使用完毕的元件、器件和部件，从设备上拆下，集中保管，损坏和丢失少。一个实训场所，可以完成几个专业的教学和实训，经济适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设备配备漏电保护、过载和电路保护，保障人身安全和设备使用安全。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灵活、可靠、安全、经济适用，是本设备的特点。对实训场所不多、教学经费投入受限制的学校， 本设备是一种理想的职业教育实训设备。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设备由实训屏（内置电源）、实训桌、储物柜三大部分组成。以30mm×30mm成型方钢作为设备主要框架材料；实训屏、地盘采用焊接连接、关键部位采用三角筋用内六角螺钉加固连接，表面经高温喷塑处理，美观大方且有效起到防锈绝缘的作用；由两条35mm×35mm铝合金型材及滑槽组成网孔板固定机构；固定机构的下方是铁制双工位电源箱，每工位电源箱的布局依次为电源保护装置、电源指示装置、电源输出；实训桌桌面采用25mm麻灰色高密度层压板封边特制，有效提高绝缘等级；实验桌底部装有至少4个导向轮，方便设备移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储物柜采用标准结构和抽屉式，左侧有3层抽屉，用于存放工具以及实训资料；右侧的双拉门式设计。设备储物柜的位置可根据需要灵活调整，外形尺寸为：1300mm×600mm×510mm。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二、设备技术参数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1、外型：整体尺寸1680mm×750mm×1630mm；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2、设备的材料：钣金、铝合金结构；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3、电源输入：三相AC 380V ±10% 50HZ 三相五线；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4、固定交流输出：三相五线 380V 接插式2组、220V接插式2组、220V插座式4组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5、可调直流输出：0～24V/2A连续可调2组（带有电压、电流表实时监控电源变化）；</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6、接口及仪表：电压表2只，时刻监控电网电压变化；</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7、保护：熔断器作短路保护，断路器具有过载保护，漏电开关具有漏电保护功能，漏电保护动作电流≤30mA。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三、实训项目举例</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1、照明电路安装连接实训；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2、日光灯连接实训；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3、单相电能表的应用；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4、电动机点动与连续转动电路连接实训；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5、按钮联锁的电动机正、反转电路连接实训；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6、接触器联锁的电动机正、反转电路连接实训；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7、接触器和按钮双重联锁的电动机正、反转电路连接实训；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8、两地控制的电动机控制电路的安装；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9、按钮切换的Y－△启动控制电路的连接实训；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10、时间继电器切换的Y－△启动控制电路的连接实训；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11、电动机往返行程控制电路连接实训；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12、电动机顺序启动控制电路连接实训；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13、电动机定时运转控制电路连接实训；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14、按钮切换的双速电动机控制电路连接实训；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15、时间继电器切换的双速电动机控制电路连接实训；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四、配置清单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一、主要部分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 YL-210A型电气装配实训装置 外形尺寸：1680mm×750mm×1630mm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材    料：钢铝结构；符合国家相关环保要求；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输入电压：AC  380 V±10%  50 Hz  三相五线；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容    量：＜1.5 kVA；</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实 验 屏：用于挂置网孔挂板，安装元件。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 电气元件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 实训电机： M2002-A 三相异步电动机 （380V，单速）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PN(W):60、nN(r/min):1400、 UN(V)：三相 AC 380      IN(A):0.33、连接组别：△/Y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1 M2003-A 三相异步电动机（380V，单速带离心开关）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PN(W):60、nN(r/min):1400、UN(V):三相 AC 380      IN(A):0.33、连接组别：△/Y</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M2004-A 三相双速异步电动机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PN(W):40/25、nN(r/min):2800/1400、UN(V):三相 AC 380      IN(A):0.25/0.2、连接组别：△/2Y</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4 安全连线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 常用工具： 一字螺丝刀、十字螺丝刀、斜口钳、剥线钳、压线钳、数字万用表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 亚龙电力拖动仿真教学实训考核软件 套 1 内设电力拖动典型电路，模拟线路电流流向各元件动作等，模拟生动形象，使学生更容易接受、掌握。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 机床模拟考核软件 套 1 考核软件还具有教学功能，可介绍多种机床的工作原理、线路结构等内容。使用计算机模拟设故考核，使学生从模拟到实物阶段性地学习，更容易接受。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 网孔板 块 2 774×580mm  用于学生实训安装电气元件、实训内容的自主创新、实训内容扩展升级；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 实验说明书：指导学生实训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二、电气元件两套清单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 三相漏电开关 3P+N D6A 只 2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 三相熔断器 3P 32A 只 4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3 交流接触器 220V 只 8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4 中间继电器 AC220V 只 4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5 时间继电器 F5-T2 AC220V 通电型 只 2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6 时间继电器 F5-D2 AC220V 断电型 只 2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7 热继电器 0.25-0.4A 只 2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8 单向电能表 220V 0.5（2）A 只 2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9 综合支架 内置按钮4只、指示灯4只、急停1只、转换开关1只， 选择开关2只、3只大功率电阻电阻 只 2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10 行程开关 LX19-001 只 8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11 线槽 5025 米 4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12 接线端子 TB1512 只 6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13 硬线 1平方 卷 2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14 软线 0.75平方 25米/卷 4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15 导轨 200mm 条 10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16 灯开关 86型 4开 只 2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17 灯头  只 4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18 灯泡 AC220V/40W 只 4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19 明盒 86型 个 2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20 塑料原木 Φ100mm 只 4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21 辅助触头组 F4-22 只 8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三、工具清单</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序号 名称 单位 数量 备注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 数字万用表 只 1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2 一字螺丝刀 把 1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3 十字螺丝刀 把 1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4 斜口钳 把 1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5 剥线钳 把 1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6 压线钳 把 1 </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046D43E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66DA766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40 </w:t>
            </w:r>
          </w:p>
        </w:tc>
      </w:tr>
      <w:tr w14:paraId="3B8FCF72">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7F3C6DC4">
            <w:pPr>
              <w:widowControl/>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bidi="ar"/>
              </w:rPr>
              <w:t>2</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6BC2E418">
            <w:pPr>
              <w:widowControl/>
              <w:textAlignment w:val="center"/>
              <w:rPr>
                <w:rFonts w:hint="eastAsia" w:ascii="宋体" w:hAnsi="宋体" w:eastAsia="宋体" w:cs="宋体"/>
                <w:color w:val="000000"/>
                <w:kern w:val="0"/>
                <w:sz w:val="18"/>
                <w:szCs w:val="18"/>
                <w:lang w:bidi="ar"/>
              </w:rPr>
            </w:pPr>
          </w:p>
          <w:p w14:paraId="35A8B435">
            <w:pPr>
              <w:widowControl/>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bdr w:val="single" w:color="000000" w:sz="4" w:space="0"/>
                <w:lang w:bidi="ar"/>
              </w:rPr>
              <w:drawing>
                <wp:anchor distT="0" distB="0" distL="114300" distR="114300" simplePos="0" relativeHeight="251661312" behindDoc="0" locked="0" layoutInCell="1" allowOverlap="1">
                  <wp:simplePos x="0" y="0"/>
                  <wp:positionH relativeFrom="column">
                    <wp:posOffset>85090</wp:posOffset>
                  </wp:positionH>
                  <wp:positionV relativeFrom="paragraph">
                    <wp:posOffset>0</wp:posOffset>
                  </wp:positionV>
                  <wp:extent cx="9525" cy="30480"/>
                  <wp:effectExtent l="0" t="0" r="0" b="0"/>
                  <wp:wrapNone/>
                  <wp:docPr id="46" name="图片 26"/>
                  <wp:cNvGraphicFramePr/>
                  <a:graphic xmlns:a="http://schemas.openxmlformats.org/drawingml/2006/main">
                    <a:graphicData uri="http://schemas.openxmlformats.org/drawingml/2006/picture">
                      <pic:pic xmlns:pic="http://schemas.openxmlformats.org/drawingml/2006/picture">
                        <pic:nvPicPr>
                          <pic:cNvPr id="46" name="图片 26"/>
                          <pic:cNvPicPr/>
                        </pic:nvPicPr>
                        <pic:blipFill>
                          <a:blip r:embed="rId4"/>
                          <a:stretch>
                            <a:fillRect/>
                          </a:stretch>
                        </pic:blipFill>
                        <pic:spPr>
                          <a:xfrm>
                            <a:off x="0" y="0"/>
                            <a:ext cx="9525" cy="30480"/>
                          </a:xfrm>
                          <a:prstGeom prst="rect">
                            <a:avLst/>
                          </a:prstGeom>
                          <a:noFill/>
                          <a:ln>
                            <a:noFill/>
                          </a:ln>
                        </pic:spPr>
                      </pic:pic>
                    </a:graphicData>
                  </a:graphic>
                </wp:anchor>
              </w:drawing>
            </w:r>
            <w:r>
              <w:rPr>
                <w:rFonts w:hint="eastAsia" w:ascii="宋体" w:hAnsi="宋体" w:eastAsia="宋体" w:cs="宋体"/>
                <w:color w:val="000000"/>
                <w:kern w:val="0"/>
                <w:sz w:val="18"/>
                <w:szCs w:val="18"/>
                <w:lang w:bidi="ar"/>
              </w:rPr>
              <w:t>空调制冷综合实训装置</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511BC15C">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77696" behindDoc="0" locked="0" layoutInCell="1" allowOverlap="1">
                  <wp:simplePos x="0" y="0"/>
                  <wp:positionH relativeFrom="column">
                    <wp:posOffset>0</wp:posOffset>
                  </wp:positionH>
                  <wp:positionV relativeFrom="paragraph">
                    <wp:posOffset>0</wp:posOffset>
                  </wp:positionV>
                  <wp:extent cx="1905" cy="30480"/>
                  <wp:effectExtent l="0" t="0" r="0" b="0"/>
                  <wp:wrapNone/>
                  <wp:docPr id="43" name="图片 27"/>
                  <wp:cNvGraphicFramePr/>
                  <a:graphic xmlns:a="http://schemas.openxmlformats.org/drawingml/2006/main">
                    <a:graphicData uri="http://schemas.openxmlformats.org/drawingml/2006/picture">
                      <pic:pic xmlns:pic="http://schemas.openxmlformats.org/drawingml/2006/picture">
                        <pic:nvPicPr>
                          <pic:cNvPr id="43" name="图片 27"/>
                          <pic:cNvPicPr/>
                        </pic:nvPicPr>
                        <pic:blipFill>
                          <a:blip r:embed="rId4"/>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76672" behindDoc="0" locked="0" layoutInCell="1" allowOverlap="1">
                  <wp:simplePos x="0" y="0"/>
                  <wp:positionH relativeFrom="column">
                    <wp:posOffset>0</wp:posOffset>
                  </wp:positionH>
                  <wp:positionV relativeFrom="paragraph">
                    <wp:posOffset>0</wp:posOffset>
                  </wp:positionV>
                  <wp:extent cx="1905" cy="30480"/>
                  <wp:effectExtent l="0" t="0" r="0" b="0"/>
                  <wp:wrapNone/>
                  <wp:docPr id="25" name="图片 28"/>
                  <wp:cNvGraphicFramePr/>
                  <a:graphic xmlns:a="http://schemas.openxmlformats.org/drawingml/2006/main">
                    <a:graphicData uri="http://schemas.openxmlformats.org/drawingml/2006/picture">
                      <pic:pic xmlns:pic="http://schemas.openxmlformats.org/drawingml/2006/picture">
                        <pic:nvPicPr>
                          <pic:cNvPr id="25" name="图片 28"/>
                          <pic:cNvPicPr/>
                        </pic:nvPicPr>
                        <pic:blipFill>
                          <a:blip r:embed="rId5"/>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75648" behindDoc="0" locked="0" layoutInCell="1" allowOverlap="1">
                  <wp:simplePos x="0" y="0"/>
                  <wp:positionH relativeFrom="column">
                    <wp:posOffset>0</wp:posOffset>
                  </wp:positionH>
                  <wp:positionV relativeFrom="paragraph">
                    <wp:posOffset>0</wp:posOffset>
                  </wp:positionV>
                  <wp:extent cx="1905" cy="30480"/>
                  <wp:effectExtent l="0" t="0" r="0" b="0"/>
                  <wp:wrapNone/>
                  <wp:docPr id="49" name="图片 29"/>
                  <wp:cNvGraphicFramePr/>
                  <a:graphic xmlns:a="http://schemas.openxmlformats.org/drawingml/2006/main">
                    <a:graphicData uri="http://schemas.openxmlformats.org/drawingml/2006/picture">
                      <pic:pic xmlns:pic="http://schemas.openxmlformats.org/drawingml/2006/picture">
                        <pic:nvPicPr>
                          <pic:cNvPr id="49" name="图片 29"/>
                          <pic:cNvPicPr/>
                        </pic:nvPicPr>
                        <pic:blipFill>
                          <a:blip r:embed="rId4"/>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lang w:val="en-US" w:eastAsia="zh-CN" w:bidi="ar"/>
              </w:rPr>
              <w:t xml:space="preserve">一、设备简述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装置由空调系统和双温冷库系统组成。主要强化学生对空调和冷库系统的管路设计和安装、电气接线、工况调试、故障诊断与维修以及制冷工具的使用等综合职业能力。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▲制冷系统布线接线技能仿真软件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（1）功能要求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要求包含导线的连接与绝缘恢复、绝缘子线路的安装、塑料护套线路的安装、管线线路的安装、塑料线槽线路的安装共五个知识点的内容。要求竞标人在投标文件中提供该软件相关5个知识点截图，并现场演示软件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①知识点1-导线的连接与绝缘恢复：内容至少包含验电笔、螺钉旋具、钢丝钳、尖嘴钳、斜口钳、剥线钳、电工刀、导线连接常用方法、单股铜导线的连接、多股铜导线的连接、线头与接线桩的连接、绝缘层的恢复、线鼻子接线等内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②知识点2-绝缘子线路的安装：内容至少包含常用绝缘子种类，器材、工具及仪表、工艺流程、定位、划线、凿眼、预埋件、埋设保护管、固定绝缘子、敷设导线、线路检测等内容。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③知识点3-塑料护套线路的安装：内容至少包含护套线应用、护套线规格及型号介绍、塑料护套线布线线路、准备工作、操作步骤、定位、划线、凿眼、埋设预埋件和紧固件、埋设保护管、固定铝线卡、敷设护套线等内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④知识点4-管线线路的安装:管线线路介绍，金属管线配线所需器材、工具，绞板器，接线盒，金属管卡，弯管器、钢管除锈，涂漆，钢管锯削，清管穿线，弯管等内容。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⑤知识点5-塑料线槽线路的安装：内容至少包含线槽线路介绍，施工前准备，安装工艺流程，常用规格型号、线槽固定、线槽连接、槽内放线、导线连接、线路检查等内容。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系统由电气控制系统和管路系统两部分组成，两个系统独立分开，电气控制系统由具有漏电保护功能的电源及考核模块、双温冷库电气控制模块和变频空调电气控制系统组成。管路系统分为热泵空调器和双温冷库两种。</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设备具有智能故障考核功能，可对学生进行双温冷库电气控制系统的智能实训考核。空调系统的考核则采用人为设置故障的方法，可设置电控系统故障也可以设置管路系统故障，使故障检测和排除贴合实际，具有真实性、实用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▲产品满足2024、2025年海南省技能大赛空调制冷综合实训装置赛项技术要求。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二、设备特点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1、设备集空调和双温冷库管路系统安装、检漏、保压、抽真空、充注制冷剂、电控系统接线和系统运行调试于一体，满足实训教学、实际工程训练和职业技能竞赛的要求。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2、设备采用模块化设计，电气系统和管路系统独立分开，电气系统设置测试端子、输出端子，学生可进行电气测试、接线和调试运行操作。管路系统可进行管路设计和安装实训操作。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3、装置直观展示了空调、双温冷库的制冷系统结构、工作原理，方便于教学演示讲解及学生对课本知识的理解和掌握。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管路系统与压力表、压力保护开关之间的连接采用由尼龙、聚酯纤维和聚氨酯三种材料组成的新型连接软管，具有强度高、柔性好、降低振动传递、提高系统的气密性等特点，软管使用专用工具进行压接，同时还配备专用免焊接的洛克环连接工具，从而使学生学习和掌握新材料、新工艺、新技术，扩大视野。</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5、双温冷库制冷系统扩展安装热回收模块，使被浪费的热量可以再次被回收利用,既环保又节能，在增加学生知识面的同时也提高了学生的节能环保意识。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6、配置冷媒回收机和回收瓶，可对系统中的制冷剂进行回收后再循环利用，不但能减少实操训练消耗，而且避免大量制冷剂释放到大气中，具有节能环保作用。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7、装置配置压力表和温度检测仪，用于测量系统关键点的温度和压力值，可对系统进行计算和分析。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8、整套实训装置系统真实完整，结构清晰、直观，与实际空调、冷库制冷系统、电气系统一致，通俗易懂，易学易教。</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三、技术参数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1、工作电源：单相三线 AC220V ±10%  50Hz</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2、环境温度：－5℃—40℃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3、相对湿度：≤85﹪  （25℃）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4、整机功耗：＜1.5KW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5、外形尺寸：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冷库机组、电控系统安装平台：1200mm×800mm×750mm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双温冷库柜体：720mm×750mm×1650mm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空调器安装平台：1200mm×800mm×1700mm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6、电源总开关带漏电保护  IΔn≦30mA，时间≦0.1S</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7、具有电压、电流指示、供电指示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四、结构及组成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XK-ZLZR1A型空调制冷综合实训装置主要由空调器安装平台和冷库机组、电控系统平台以及双温冷库柜体三部分组成。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1、空调器安装平台：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1）安装平台采用铝型材作为框架，由“模拟墙”和底座组成，室内机和室外机分别安装在模拟墙和底座上。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2）室外机和室内机的安装位置以及内外机之间的系统连接可根据技术要求和规范进行安装和连接，学生在木板上根据要求定位开孔，对学生进行分体式空调器安装操作实训。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3）平台底脚配有带锁的静音万向轮，方便移动。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2、冷库机组、电控系统平台：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平台采用铝型材为主框架，钣金板作为辅材。桌面为带凹槽的工业铝型材拼接而成，便于安装实训部件和设备。桌面下方设置抽屉，可放置3个尺寸为330*400mm的电气控制实训模块。抽屉下方设置有存放柜，用于放置制冷专用工具、真空泵以及制冷剂钢瓶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2）铝型材桌面前部设置有采用端子排和护套插孔相结合的接线区，作为电气控制实训模块与被控元件的连接过渡区。桌面四周安装有走线槽，简洁美观。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3）冷库机组采用泰康制冷机组，包含全封闭压缩机、风冷翅片式冷凝器、储液器、机组阀门等。供电电源为AC 220V-240V，50Hz；压缩机功率7/16P；采用无氟环保的R134A制冷剂。机组安装在不锈钢网孔板上，可随意摆放。配套有专用塑料卡座用于固定干燥过滤器、视液镜等制冷器件。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4）电源及考核模块：模块包含单相漏电保护开关、数显电压表0～250V、数显电流表0～5A和双联三芯插座、智能故障考核器等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 智能故障考核器：由19264液晶屏、PVC键盘、故障考核接口、通讯模块、单片机和存储器等组成，具有1个RS485通讯口和1个RS232通讯口，具有故障设置、故障清零、分数查询等功能。故障考核系统独立供电，不受总电源开关的控制。具有故障设置、故障清零、考核答题、自动评分、分数查询等功能。具有断电保持功能。按顺序答题，允许答题次数可以设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双温冷库电气控制模块：两个智能温度控制器，分别控制冷藏室和冷冻室温度。采用接线端子和原理图加测量点的形式，在模块PCB板的上部安装安全护套插孔，部分器件的输入和控制输出均引到面板的安全护套插孔，便于控制电路与执行部件的接线，加深学生对电气控制系统外围电路的理解和掌握。PCB板的下部丝印详细的电控原理图，在相应位置安装测量点，用于电气参数和排除故障时的测量。同时，模块安装有智能故障考核板和考核接口，用于故障设置与考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7）平台底脚配有带锁的静音万向轮，方便设备移动。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3、冷库柜体：</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1）库体采用优质不锈钢板做骨架，经过机械加工成型，保温层采用聚氨酯保温防火发泡材料。</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2）整个空间分为上下两层，上层为冷冻区，空间尺寸640*660*465mm，采用DE-2.5吹风翅片式蒸发器，下层为冷藏区，空间尺寸不小于640*510*890mm，采用光管式蒸发器。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3）库体侧面安装一块不锈钢网孔板，用于安装内平衡式热力膨胀阀、蒸发压力调节阀、电磁阀等。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4）上、下柜门分别安装290*190mm和410*300mm的小型透明玻璃窗，有利于库体保温的同时也便于观察内部结构及工作状态。库体内包含照明系统、排水系统等。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5）底部安装带刹车的万向轮，移动和固定两相宜，方便调整设备的摆放位置。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4、热回收模块：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1）模块由276*80*140mm不锈钢水箱、管路固定板和相应管路等组成。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2）不锈钢水箱的四角固定有传感器放置装置，便于方便测量不同部位的温度值。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3）管路固定板可根据实训和考核要求设计成多种方案。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五、装置功能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    1、空调系统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1）了解家用空调器的结构组成；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2）理解热泵型空调器制热、制冷工作原理；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3）家用壁挂分体式空调器的设计、安装操作；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4）空调电气控制系统接线和管路系统连接操作；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5）空调系统检漏、抽真空、充注制冷剂操作；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6）空调器调试操作；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7）空调系统故障考核。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2、双温冷库系统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1）了解双温冷库系统的组成；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2）理解双温冷库系统的工作原理；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3）理解双温冷库系统电气控制系统原理；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4）双温冷库系统管路设计、组装操作；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5）双温冷库系统电气控制系统接线操作；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6）制冷系统的检漏、抽真空、充注制冷剂操作；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7）双温冷库系统的调试操作；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8）双温冷库系统模拟电气故障考核。</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26016BB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1C60635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2 </w:t>
            </w:r>
          </w:p>
        </w:tc>
      </w:tr>
      <w:tr w14:paraId="0BCD3A3E">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3BB0E7FC">
            <w:pPr>
              <w:widowControl/>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bidi="ar"/>
              </w:rPr>
              <w:t>3</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0486F94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凳子</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5A3E3B8D">
            <w:pPr>
              <w:keepNext w:val="0"/>
              <w:keepLines w:val="0"/>
              <w:widowControl/>
              <w:suppressLineNumbers w:val="0"/>
              <w:jc w:val="left"/>
              <w:textAlignment w:val="center"/>
              <w:rPr>
                <w:rFonts w:hint="default" w:ascii="宋体" w:hAnsi="宋体" w:eastAsia="宋体" w:cs="宋体"/>
                <w:color w:val="000000"/>
                <w:sz w:val="18"/>
                <w:szCs w:val="18"/>
                <w:lang w:val="en-US"/>
              </w:rPr>
            </w:pPr>
            <w:r>
              <w:rPr>
                <w:rFonts w:hint="eastAsia" w:ascii="宋体" w:hAnsi="宋体" w:eastAsia="宋体" w:cs="宋体"/>
                <w:i w:val="0"/>
                <w:iCs w:val="0"/>
                <w:color w:val="000000"/>
                <w:kern w:val="0"/>
                <w:sz w:val="18"/>
                <w:szCs w:val="18"/>
                <w:u w:val="none"/>
                <w:lang w:val="en-US" w:eastAsia="zh-CN" w:bidi="ar"/>
              </w:rPr>
              <w:t>材质：实木、规格：直径40-50厘米，高度约44-50厘米‌</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34B3683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46382CC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60 </w:t>
            </w:r>
          </w:p>
        </w:tc>
      </w:tr>
      <w:tr w14:paraId="0A326B44">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5DC2F119">
            <w:pPr>
              <w:widowControl/>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bidi="ar"/>
              </w:rPr>
              <w:t>4</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551D4AB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讲台桌椅</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017B0453">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1.规格： 1150*780*1000（长宽高）MM。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2.讲桌主体材料采用1.0MM冷轧钢板。讲桌采用钢木结合构造，桌体上部分采用圆弧设计。讲台整体设计符合人体力学原理，提供左右海南橡木实木扶手，供使用者扶用。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3.工艺：脱脂、磷化、静电喷塑、溜平固化，重点部位须采用一次冲压成型技术；所有钣金部分均采用激光切割加工，所有尖角倒圆角不小于R3，保证使用者和维护者不划伤。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4.讲桌桌面采用木黄色耐划木质材料，耐腐蚀环保台面（非吸塑工艺），扶手采用橡木扶手，L型橡木装饰板，整体布局简洁、美观。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桌面由一把机械锁控制，采用环环相扣设计，显示器盖板、键盘打开，展示台抽屉逐步打开。关闭时只要把显示器翻转锁住，此时整个桌面成一个平面状态，操作更简易，使用更安全。或者讲台上设置输入电源控制总开关，用IC卡的形式，能防一定的技术性开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6.桌面可选配集成模块（有不少于2个USB接口，1个HDMI接口，1个网线接口，1个MIC,1个VGA,1个三孔电源接口）。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7.讲桌上下层采用分体式设计，桌面部分和桌体部分自成一体，方便进出设计比较窄的教室门。讲桌内置固定螺丝孔位，安装简单，安全防盗；独立包装，运输轻便。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8.显示器盖板和键盘、鼠标部分采用联动式设计。显示器盖板可装置23.5寸液晶宽屏显示器；安装显示器无任何螺丝结构。键盘前面放置一体中控或者分体中控系统，</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9.右侧抽屉可放置实物展示台，承重6公斤,关闭后,所有设备都隐藏在讲台内。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10.上柜尺寸1150*780*340mm，下柜尺寸810*630*660mm，桌面到地面尺寸为900mm高，显示器开孔为550mm.  C、配套教师椅子                              </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67214F1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692" w:type="dxa"/>
            <w:gridSpan w:val="2"/>
            <w:tcBorders>
              <w:top w:val="single" w:color="000000" w:sz="4" w:space="0"/>
              <w:left w:val="single" w:color="000000" w:sz="4" w:space="0"/>
              <w:bottom w:val="single" w:color="000000" w:sz="4" w:space="0"/>
              <w:right w:val="single" w:color="000000" w:sz="4" w:space="0"/>
            </w:tcBorders>
            <w:noWrap/>
            <w:vAlign w:val="center"/>
          </w:tcPr>
          <w:p w14:paraId="0B2C46A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r>
      <w:tr w14:paraId="2D454028">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1F2DA72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val="en-US" w:eastAsia="zh-CN" w:bidi="ar"/>
              </w:rPr>
              <w:t>5</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5CC7712E">
            <w:pPr>
              <w:widowControl/>
              <w:jc w:val="center"/>
              <w:textAlignment w:val="center"/>
              <w:rPr>
                <w:rFonts w:hint="eastAsia" w:ascii="宋体" w:hAnsi="宋体" w:eastAsia="宋体" w:cs="宋体"/>
                <w:color w:val="000000"/>
                <w:kern w:val="0"/>
                <w:sz w:val="18"/>
                <w:szCs w:val="18"/>
                <w:lang w:bidi="ar"/>
              </w:rPr>
            </w:pPr>
          </w:p>
          <w:p w14:paraId="48A0BF1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bdr w:val="single" w:color="000000" w:sz="4" w:space="0"/>
                <w:lang w:bidi="ar"/>
              </w:rPr>
              <w:drawing>
                <wp:anchor distT="0" distB="0" distL="114300" distR="114300" simplePos="0" relativeHeight="251662336" behindDoc="0" locked="0" layoutInCell="1" allowOverlap="1">
                  <wp:simplePos x="0" y="0"/>
                  <wp:positionH relativeFrom="column">
                    <wp:posOffset>85090</wp:posOffset>
                  </wp:positionH>
                  <wp:positionV relativeFrom="paragraph">
                    <wp:posOffset>0</wp:posOffset>
                  </wp:positionV>
                  <wp:extent cx="9525" cy="30480"/>
                  <wp:effectExtent l="0" t="0" r="0" b="0"/>
                  <wp:wrapNone/>
                  <wp:docPr id="36" name="图片 30"/>
                  <wp:cNvGraphicFramePr/>
                  <a:graphic xmlns:a="http://schemas.openxmlformats.org/drawingml/2006/main">
                    <a:graphicData uri="http://schemas.openxmlformats.org/drawingml/2006/picture">
                      <pic:pic xmlns:pic="http://schemas.openxmlformats.org/drawingml/2006/picture">
                        <pic:nvPicPr>
                          <pic:cNvPr id="36" name="图片 30"/>
                          <pic:cNvPicPr/>
                        </pic:nvPicPr>
                        <pic:blipFill>
                          <a:blip r:embed="rId6"/>
                          <a:stretch>
                            <a:fillRect/>
                          </a:stretch>
                        </pic:blipFill>
                        <pic:spPr>
                          <a:xfrm>
                            <a:off x="0" y="0"/>
                            <a:ext cx="9525" cy="30480"/>
                          </a:xfrm>
                          <a:prstGeom prst="rect">
                            <a:avLst/>
                          </a:prstGeom>
                          <a:noFill/>
                          <a:ln>
                            <a:noFill/>
                          </a:ln>
                        </pic:spPr>
                      </pic:pic>
                    </a:graphicData>
                  </a:graphic>
                </wp:anchor>
              </w:drawing>
            </w:r>
            <w:r>
              <w:rPr>
                <w:rFonts w:hint="eastAsia" w:ascii="宋体" w:hAnsi="宋体" w:eastAsia="宋体" w:cs="宋体"/>
                <w:color w:val="000000"/>
                <w:kern w:val="0"/>
                <w:sz w:val="18"/>
                <w:szCs w:val="18"/>
                <w:lang w:bidi="ar"/>
              </w:rPr>
              <w:t>86寸触控一体机</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7EEE2273">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79744" behindDoc="0" locked="0" layoutInCell="1" allowOverlap="1">
                  <wp:simplePos x="0" y="0"/>
                  <wp:positionH relativeFrom="column">
                    <wp:posOffset>0</wp:posOffset>
                  </wp:positionH>
                  <wp:positionV relativeFrom="paragraph">
                    <wp:posOffset>0</wp:posOffset>
                  </wp:positionV>
                  <wp:extent cx="1905" cy="30480"/>
                  <wp:effectExtent l="0" t="0" r="0" b="0"/>
                  <wp:wrapNone/>
                  <wp:docPr id="47" name="图片 31"/>
                  <wp:cNvGraphicFramePr/>
                  <a:graphic xmlns:a="http://schemas.openxmlformats.org/drawingml/2006/main">
                    <a:graphicData uri="http://schemas.openxmlformats.org/drawingml/2006/picture">
                      <pic:pic xmlns:pic="http://schemas.openxmlformats.org/drawingml/2006/picture">
                        <pic:nvPicPr>
                          <pic:cNvPr id="47" name="图片 31"/>
                          <pic:cNvPicPr/>
                        </pic:nvPicPr>
                        <pic:blipFill>
                          <a:blip r:embed="rId7"/>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78720" behindDoc="0" locked="0" layoutInCell="1" allowOverlap="1">
                  <wp:simplePos x="0" y="0"/>
                  <wp:positionH relativeFrom="column">
                    <wp:posOffset>0</wp:posOffset>
                  </wp:positionH>
                  <wp:positionV relativeFrom="paragraph">
                    <wp:posOffset>0</wp:posOffset>
                  </wp:positionV>
                  <wp:extent cx="1905" cy="30480"/>
                  <wp:effectExtent l="0" t="0" r="0" b="0"/>
                  <wp:wrapNone/>
                  <wp:docPr id="37" name="图片 32"/>
                  <wp:cNvGraphicFramePr/>
                  <a:graphic xmlns:a="http://schemas.openxmlformats.org/drawingml/2006/main">
                    <a:graphicData uri="http://schemas.openxmlformats.org/drawingml/2006/picture">
                      <pic:pic xmlns:pic="http://schemas.openxmlformats.org/drawingml/2006/picture">
                        <pic:nvPicPr>
                          <pic:cNvPr id="37" name="图片 32"/>
                          <pic:cNvPicPr/>
                        </pic:nvPicPr>
                        <pic:blipFill>
                          <a:blip r:embed="rId7"/>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80768" behindDoc="0" locked="0" layoutInCell="1" allowOverlap="1">
                  <wp:simplePos x="0" y="0"/>
                  <wp:positionH relativeFrom="column">
                    <wp:posOffset>0</wp:posOffset>
                  </wp:positionH>
                  <wp:positionV relativeFrom="paragraph">
                    <wp:posOffset>0</wp:posOffset>
                  </wp:positionV>
                  <wp:extent cx="1905" cy="30480"/>
                  <wp:effectExtent l="0" t="0" r="0" b="0"/>
                  <wp:wrapNone/>
                  <wp:docPr id="44" name="图片 33"/>
                  <wp:cNvGraphicFramePr/>
                  <a:graphic xmlns:a="http://schemas.openxmlformats.org/drawingml/2006/main">
                    <a:graphicData uri="http://schemas.openxmlformats.org/drawingml/2006/picture">
                      <pic:pic xmlns:pic="http://schemas.openxmlformats.org/drawingml/2006/picture">
                        <pic:nvPicPr>
                          <pic:cNvPr id="44" name="图片 33"/>
                          <pic:cNvPicPr/>
                        </pic:nvPicPr>
                        <pic:blipFill>
                          <a:blip r:embed="rId6"/>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lang w:val="en-US" w:eastAsia="zh-CN" w:bidi="ar"/>
              </w:rPr>
              <w:t>一、技术参数要求：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1.要求采用一体化设计，集成显示屏、电脑主机、音响、摄像头、内置麦克风等设备模块；</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2.显示屏尺寸≥86英寸，显示分辨率不低于3840×2160，屏体对比度不低于5000:1；</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3.屏体表面采用防眩光钢化玻璃保护，支持Windows系统和Android系统中进行20点或以上触控书写，触摸响应时间≤5ms；</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▲4.为便于外接信号输入且便于识别，前置接口不少于1路HDMI和2路双通道USB3.0接口且均带有中文标识；（提供第三方检测机构出具的具有 CMA 或 CNAS 标识的检验（测）报告复印件，并加盖制造商公章）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5.产品内置 2.4G/5G双频WiFi，双系统均支持WiFi 上网，内置蓝牙工作距离不低于12米；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6.为保护师生视力健康，产品采用物理防蓝光设计，无需其他操作开机即达到防蓝光效果；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7.产品采用Windows+ Android的双系统配置，其中Android系统版本不低于Android 11.0；其内存≥2GB，存储空间≥8GB；</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8.产品内置扬声器不低于40W；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9.整机内置非独立摄像头，可用于远程巡课，可AI识别人像；可拍摄≥1300万像素数的照片，摄像头视场角≥135度产品内置摄像头；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10.内置电脑采用通用的80pin标准接口，处理器配置不低于Intel Core I5十一代处理器；内存不低于8G；硬盘不低于256G-SSD 固态硬盘。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11.产品提供多种智能手势操作，包含通过手势调用中控菜单，调用悬浮菜单，屏幕下移等，从而便于快速实现亮度、声音等功能的调节，切换至展台、桌面等功能；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12.产品具备单独听功能，支持在熄屏状态下仍能够播放音频；</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▲13.前置物理按键可实现常用的开关机、音量调节、截屏、启动录屏、调取多任务、关闭窗口等功能，其数量不少于8个；并带有中文标识或简易标识，方便快速识别使用。（提供第三方检测机构出具的具有 CMA 或 CNAS 标识的检验（测）报告复印件，并加盖制造商公章）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14.为快速解决系统故障问题，产品支持通过前置还原按键实现电脑系统一键还原，还原按键采用针孔式设计，进行系统还原设置时，通过前置还原按键即可实现，无需在屏幕触控操作，防止身体碰触发生误操作；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15.内置无线传屏接收端，Android和Windows系统下无需外部接收组件，无线传屏发射器与交互设备匹配后可实现无线传屏功能，可将外部电脑设备的视频、音频、触控、信号无线传至交互设备上，支持双向传输；</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任意信号通道下，可通过手势在屏幕显示区域任何位置快速调取软控菜单，菜单可实现：批注、启动展台等功能，其功能模块支持替换，可选择功能不少于25个，满足不同使用需求；（提供第三方检测机构出具的具有 CMA 或 CNAS 标识的检验（测）报告复印件，并加盖制造商公章）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17.屏幕下降：可通过软件快捷键或手势等不少于三种方式实现屏幕显示画面下降，并可进行触控，以适应不同教师身高；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二、软件功能要求：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1.ppt全屏播放时可自动开启工具菜单，提供PPT课件的播放控制(如前后翻页)及不少于7种书写笔等功能。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移动教学支持手机、pad移动端、电脑与大屏连接后，可实现常用功能如文件上传、投屏、等功能。可将移动端显示内容一键投入大屏中，也可将大屏画面投到移动端，此时移动端可对大屏进行控制；支持同时上传多张照片进行双向批注书写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3.老师个人账号无需完成特定任务，即可获取不少于 200GB云端存储空间；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4.提供知识配对、分类达人、填空达人、连词成句、翻翻卡、消消乐9种类型的课堂活动，老师备课时通过活动模板即可快速制作活动，支持编辑好的课堂活动添加到我的课堂活动，实现任意课件的随时引用。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5.提供3种活动组件，包括骰子、大转盘、随机数，活动组件可选择不同的外观，可设置转盘个数和随机数上限，帮助老师活跃课堂气氛。</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授课时支持从软件工具条直接打开本机文件、U盘文件等本地文件；不需导入，可直接打开本地视频、音频、图片、离线教学课件、ppt&amp;pptx、PDF文件、doc&amp;docx文件及swf文件。（提供第三方检测机构出具的具有 CMA 或 CNAS 标识的检验(测) 报告复印件， 并加盖制造商公章）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支持免登录打开离线课件，直接进入课件全屏播放状态；登录后，可返回备课编辑状态。可通过点击或触摸屏幕实现动画的显示和翻页，同时支持通过翻页笔翻页，还支持点击工具条进行课件的前翻页和后翻页，支持手势滑动上下翻页；</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8.提供不少于20个蒙层模板，老师备课时选择合适的蒙层图片遮住元素，授课时用橡皮擦除蒙层，展现被蒙住的元素；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课堂评价支持对全班、单个或多个学生进行评价，评价结果可撤回。老师可通过移动端、PC端及网页端对学生进行行为评价打分，软件支持随机抽选学生进行评价，支持计时器功能，包括秒表和倒计时，支持家长通过移动端查看学生的近期表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10.支持无需额外下载视频播放软件即可一键即达，快速进入CCTV官网频道在线播放，如新闻、科教、法制等，便于师生快速了解实时新闻、科教资讯、校园动态等；（提供第三方检测机构出具的具有 CMA 或 CNAS 标识的检验（测）报告复印件，并加盖制造商公章）</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7EE6C8D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692" w:type="dxa"/>
            <w:gridSpan w:val="2"/>
            <w:tcBorders>
              <w:top w:val="single" w:color="000000" w:sz="4" w:space="0"/>
              <w:left w:val="single" w:color="000000" w:sz="4" w:space="0"/>
              <w:bottom w:val="single" w:color="000000" w:sz="4" w:space="0"/>
              <w:right w:val="single" w:color="000000" w:sz="4" w:space="0"/>
            </w:tcBorders>
            <w:noWrap/>
            <w:vAlign w:val="center"/>
          </w:tcPr>
          <w:p w14:paraId="05204F4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r>
      <w:tr w14:paraId="25FEF377">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417A16CE">
            <w:pPr>
              <w:widowControl/>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bidi="ar"/>
              </w:rPr>
              <w:t>6</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1CA175D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光能教学板</w:t>
            </w:r>
          </w:p>
        </w:tc>
        <w:tc>
          <w:tcPr>
            <w:tcW w:w="5207" w:type="dxa"/>
            <w:tcBorders>
              <w:top w:val="single" w:color="000000" w:sz="4" w:space="0"/>
              <w:left w:val="single" w:color="000000" w:sz="4" w:space="0"/>
              <w:bottom w:val="single" w:color="000000" w:sz="4" w:space="0"/>
              <w:right w:val="single" w:color="000000" w:sz="4" w:space="0"/>
            </w:tcBorders>
            <w:noWrap/>
            <w:vAlign w:val="center"/>
          </w:tcPr>
          <w:p w14:paraId="7AF301AA">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一、硬件要求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1、光能教学板产品符合GB28231-2011《书写板安全卫生要求》。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2、整体结构上采用左、右各一块光能教学板+触控一体机的组合方式（ABA放置样式）。单块光能黑板产品尺寸≥1290（长）*1158（高）mm。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3、光能教学板依靠压力改变液晶分子排布，使用任何硬度适中的物体均可书写，书写压力50-300g，笔迹粗细大于4mm，书写延时≤7ms，无需任何耗材，杜绝粉尘污染，消除粉尘对老师和学生构成的健康危害。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光能黑板应无频闪、无背光，上膜不应产生眩光。板书笔迹可视距离40米，可视角度≥150°，对比度≥150:1。（提供中国合格评定国家认可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5、一键擦除：光能教学板正面配有一个擦除按键，按下瞬间清除黑板字迹，减少师生擦拭黑板负担。为提高教学效率，一键清除时间不大于0.2秒。</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6、局部擦除：可使用板擦和手势对错误字迹进行局部擦除，擦除精度方格小于10mm*10mm。光能教学板具有独立供电装置，可在液晶屏关机的情况下独立使用，不影响局部擦除功能。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▲7、光能黑板的光泽度不高于30光泽单位。（提供中国合格评定国家认可委员会认证的检测机构所出具的检测报告复印件并加盖厂家公章，并提供全国认证认可信息公共服务平台对应检测报告查询记录截图。）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8、光能教学板书写及显示过程无需任何电量，仅擦除时消耗微弱电量；为保证停电情况下仍可正常使用，内置可拆卸18650型号充电锂电池，电池容量≥2600mAh。</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书写膜的透光率不低于87%，雾度不高于40%。（提供中国合格评定国家认可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设备内提供的电池组保护电路，符合标准要求，并通过带二次锂电池的设备的充电安全防护。黑板通过恒定力和冲击试验，机械强度符合标准要求。（提供中国合格评定国家认可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11、板内设有电压补偿机制，可以通过手势按压书写板板面的特定位置，控制书写板内部电压高低，以调节擦除灵敏度。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光能黑板通过低温-30℃，高温80℃，恒定湿热40℃、95%RH测试，产品外观无变形、损坏等现象，通电运行正常。（提供中国合格评定国家认可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13、边框采用铝合金材质，坚固耐用，具有较好的耐腐蚀特性，延长了产品使用寿命。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14、采用可调节的设计，离墙距离调节范围110-150mm,上下高度调节范围大于50mm，确保与液晶大屏整齐一致，也可将下调节部件打开做为置物托板使用。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15、设计简洁，采用一体式按键指示灯，可通过不同颜色、闪烁等方式表示擦除、电量不足等工作状态。每块光能黑板具备DC接口*2和USB接口*2，方便用户使用。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16、采用挂接的安装方式，杜绝外部大框安装，装卸方便，后期易维护。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17、为让老师能够快速调取交互软件，方便使用功能，光能黑板上应具有实用快捷键。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18、日常维护：使用日常洗涤剂或消毒剂温水，擦拭书写板的书写面后，书写面应不变色，表皮不脱落。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二、同传软件要求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1、左、右光教学板可与触控一体机进行互动，将光能教学板的内容与触控一体机无缝连接，教师在光能教学板上的书写内容可同步显示在触控一体机上。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2、为便于老师记忆和操作，板书界面与电脑桌面/PPT课件之间，采用同一个按键来回切换，方便快捷。</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3、光能教学板具有两种书写记录模式，支持单板书写记录内容为一个单页面，也可以支持多板同时书写时记录在一个页面上；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4、当不需要板书传输到软件显示界面时，可以使用分屏功能，断开黑板与大屏的传输，使其成为互不影响的多块黑板。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5、设置不同的软件端笔迹颜色，可实现老师对于教学重点的标识及批注；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6、在保存的板书当中进行翻页，查找已经存储的板书内容。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7、能直接预览所有存储的板书；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8、黑板的板书即时保存到软件当中，通过翻页可找回并显示，保存时不清除黑板的板书内容。</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9、对板书的电子文档进行分享，可以存储在本地PC端，同时生产二维码，便于师生扫码获取。</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10、可以对课堂的板书和讲解进行录制，生成视频文档，利于学生课后复习回放。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三、其他要求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为确保产品为全新，质量和功能稳定性，签订合同后,要求提供厂家出具的技术参数确认表、售后服务保证原件、供货证明原件，否则采购方将不予验收通过。供应商对其所销售的货物应当享有知识产权或经权利人合法授权，保证没有侵犯任何第三人的知识产权等权利。因违反前述约定对第三人构成侵权的，应当由供应商向第三人承担法律责任;采购人依法向第三人赔偿后，有权向供应商追偿。采购方有其他损失的，供应商应当赔偿。</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077526C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692" w:type="dxa"/>
            <w:gridSpan w:val="2"/>
            <w:tcBorders>
              <w:top w:val="single" w:color="000000" w:sz="4" w:space="0"/>
              <w:left w:val="single" w:color="000000" w:sz="4" w:space="0"/>
              <w:bottom w:val="single" w:color="000000" w:sz="4" w:space="0"/>
              <w:right w:val="single" w:color="000000" w:sz="4" w:space="0"/>
            </w:tcBorders>
            <w:noWrap/>
            <w:vAlign w:val="center"/>
          </w:tcPr>
          <w:p w14:paraId="463D35C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r>
      <w:tr w14:paraId="73558C52">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4716AC80">
            <w:pPr>
              <w:widowControl/>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bidi="ar"/>
              </w:rPr>
              <w:t>7</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663D5D8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视频展台</w:t>
            </w:r>
          </w:p>
        </w:tc>
        <w:tc>
          <w:tcPr>
            <w:tcW w:w="5207" w:type="dxa"/>
            <w:tcBorders>
              <w:top w:val="single" w:color="000000" w:sz="4" w:space="0"/>
              <w:left w:val="single" w:color="000000" w:sz="4" w:space="0"/>
              <w:bottom w:val="single" w:color="000000" w:sz="4" w:space="0"/>
              <w:right w:val="single" w:color="000000" w:sz="4" w:space="0"/>
            </w:tcBorders>
            <w:noWrap/>
            <w:vAlign w:val="center"/>
          </w:tcPr>
          <w:p w14:paraId="16FF476B">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硬件部分：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1.壁挂式安装，防盗防破坏。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2.无锐角无利边设计，有效防止师生碰伤、划伤。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3.托板尺寸≥A4面积，收起时小巧不占空间，高效利用挂墙面积。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4.采用USB高速接口，单根USB线实现供电、高清数据传输需求。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5.采用800W像素自动对焦摄像头，可拍摄A4画幅。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6.展台按键采用触摸按键，可实现一键启动展台画面、画面放大、画面缩小、画面旋转、拍照截图等功能，同时也支持在一体机或电脑上进行同样的操作。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7.整机自带均光罩LED补光灯，光线不足时可进行亮度补充，亮度均匀。</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8.外壳在摄像头部分带保护镜片密封，防止灰尘沾染摄像头，防护等级达到IP4X级别。</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5245390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692" w:type="dxa"/>
            <w:gridSpan w:val="2"/>
            <w:tcBorders>
              <w:top w:val="single" w:color="000000" w:sz="4" w:space="0"/>
              <w:left w:val="single" w:color="000000" w:sz="4" w:space="0"/>
              <w:bottom w:val="single" w:color="000000" w:sz="4" w:space="0"/>
              <w:right w:val="single" w:color="000000" w:sz="4" w:space="0"/>
            </w:tcBorders>
            <w:noWrap/>
            <w:vAlign w:val="center"/>
          </w:tcPr>
          <w:p w14:paraId="5A2EC4C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r>
      <w:tr w14:paraId="77A12D15">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1C58482C">
            <w:pPr>
              <w:widowControl/>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bidi="ar"/>
              </w:rPr>
              <w:t>8</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4D44E2E7">
            <w:pPr>
              <w:widowControl/>
              <w:jc w:val="center"/>
              <w:textAlignment w:val="center"/>
              <w:rPr>
                <w:rFonts w:hint="eastAsia" w:ascii="宋体" w:hAnsi="宋体" w:eastAsia="宋体" w:cs="宋体"/>
                <w:color w:val="000000"/>
                <w:kern w:val="0"/>
                <w:sz w:val="18"/>
                <w:szCs w:val="18"/>
                <w:lang w:bidi="ar"/>
              </w:rPr>
            </w:pPr>
          </w:p>
          <w:p w14:paraId="0D54AF9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bdr w:val="single" w:color="000000" w:sz="4" w:space="0"/>
                <w:lang w:bidi="ar"/>
              </w:rPr>
              <w:drawing>
                <wp:anchor distT="0" distB="0" distL="114300" distR="114300" simplePos="0" relativeHeight="251663360" behindDoc="0" locked="0" layoutInCell="1" allowOverlap="1">
                  <wp:simplePos x="0" y="0"/>
                  <wp:positionH relativeFrom="column">
                    <wp:posOffset>85090</wp:posOffset>
                  </wp:positionH>
                  <wp:positionV relativeFrom="paragraph">
                    <wp:posOffset>0</wp:posOffset>
                  </wp:positionV>
                  <wp:extent cx="9525" cy="30480"/>
                  <wp:effectExtent l="0" t="0" r="0" b="0"/>
                  <wp:wrapNone/>
                  <wp:docPr id="38" name="图片 34"/>
                  <wp:cNvGraphicFramePr/>
                  <a:graphic xmlns:a="http://schemas.openxmlformats.org/drawingml/2006/main">
                    <a:graphicData uri="http://schemas.openxmlformats.org/drawingml/2006/picture">
                      <pic:pic xmlns:pic="http://schemas.openxmlformats.org/drawingml/2006/picture">
                        <pic:nvPicPr>
                          <pic:cNvPr id="38" name="图片 34"/>
                          <pic:cNvPicPr/>
                        </pic:nvPicPr>
                        <pic:blipFill>
                          <a:blip r:embed="rId6"/>
                          <a:stretch>
                            <a:fillRect/>
                          </a:stretch>
                        </pic:blipFill>
                        <pic:spPr>
                          <a:xfrm>
                            <a:off x="0" y="0"/>
                            <a:ext cx="9525" cy="30480"/>
                          </a:xfrm>
                          <a:prstGeom prst="rect">
                            <a:avLst/>
                          </a:prstGeom>
                          <a:noFill/>
                          <a:ln>
                            <a:noFill/>
                          </a:ln>
                        </pic:spPr>
                      </pic:pic>
                    </a:graphicData>
                  </a:graphic>
                </wp:anchor>
              </w:drawing>
            </w:r>
            <w:r>
              <w:rPr>
                <w:rFonts w:hint="eastAsia" w:ascii="宋体" w:hAnsi="宋体" w:eastAsia="宋体" w:cs="宋体"/>
                <w:color w:val="000000"/>
                <w:kern w:val="0"/>
                <w:sz w:val="18"/>
                <w:szCs w:val="18"/>
                <w:lang w:bidi="ar"/>
              </w:rPr>
              <w:t>智能LED教室灯（长条形）</w:t>
            </w:r>
          </w:p>
        </w:tc>
        <w:tc>
          <w:tcPr>
            <w:tcW w:w="5207" w:type="dxa"/>
            <w:tcBorders>
              <w:top w:val="single" w:color="000000" w:sz="4" w:space="0"/>
              <w:left w:val="single" w:color="000000" w:sz="4" w:space="0"/>
              <w:bottom w:val="single" w:color="000000" w:sz="4" w:space="0"/>
              <w:right w:val="single" w:color="000000" w:sz="4" w:space="0"/>
            </w:tcBorders>
            <w:noWrap/>
            <w:vAlign w:val="center"/>
          </w:tcPr>
          <w:p w14:paraId="00A72CC7">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81792" behindDoc="0" locked="0" layoutInCell="1" allowOverlap="1">
                  <wp:simplePos x="0" y="0"/>
                  <wp:positionH relativeFrom="column">
                    <wp:posOffset>0</wp:posOffset>
                  </wp:positionH>
                  <wp:positionV relativeFrom="paragraph">
                    <wp:posOffset>0</wp:posOffset>
                  </wp:positionV>
                  <wp:extent cx="1905" cy="30480"/>
                  <wp:effectExtent l="0" t="0" r="0" b="0"/>
                  <wp:wrapNone/>
                  <wp:docPr id="29" name="图片 35"/>
                  <wp:cNvGraphicFramePr/>
                  <a:graphic xmlns:a="http://schemas.openxmlformats.org/drawingml/2006/main">
                    <a:graphicData uri="http://schemas.openxmlformats.org/drawingml/2006/picture">
                      <pic:pic xmlns:pic="http://schemas.openxmlformats.org/drawingml/2006/picture">
                        <pic:nvPicPr>
                          <pic:cNvPr id="29" name="图片 35"/>
                          <pic:cNvPicPr/>
                        </pic:nvPicPr>
                        <pic:blipFill>
                          <a:blip r:embed="rId6"/>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lang w:val="en-US" w:eastAsia="zh-CN" w:bidi="ar"/>
              </w:rPr>
              <w:t>1、一体式LED微晶防眩面板灯，额定功率≤55W，尺寸长度≥1000mm。  2、LED教室灯色温（相关色温）满足3300-5300K。  3、LED教室灯显色指数满足Ra≥90、R9≥50。  4、LED教室灯色容差（或色品容差）≤5 SDCM。  5、LED教室灯正常燃点6000小时或以上时间的光通维持率应不低于93%。  6、LED教室灯人体电磁辐射测试满足20kHz-10MHz感应电流密度系数≤0.85。  7、整灯通过国家强制性CCC认证。  8、LED教室灯频闪无危害或无显著影响或无频闪危害。  9、LED教室灯蓝光无危害或危害等级为RG0（0类危险）。  10、LED教室灯电器电子产品认证结果符合《GB/T 26572》及《GB/T 26125》标准要求。  11、LED教室灯至少依据但不限于《GB 7793》《GB 50034》《GB/T5700》《T/JYBZ 005》及《GB 7000.1》标准通过光环境认证。  12、智能控制：根据教学场景配置≥4种默认场景模式，支持快速配置；场景快速切换，根据使用需求能够快速切换整体灯光照明状态。</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4E7A7E5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条</w:t>
            </w:r>
          </w:p>
        </w:tc>
        <w:tc>
          <w:tcPr>
            <w:tcW w:w="692" w:type="dxa"/>
            <w:gridSpan w:val="2"/>
            <w:tcBorders>
              <w:top w:val="single" w:color="000000" w:sz="4" w:space="0"/>
              <w:left w:val="single" w:color="000000" w:sz="4" w:space="0"/>
              <w:bottom w:val="single" w:color="000000" w:sz="4" w:space="0"/>
              <w:right w:val="single" w:color="000000" w:sz="4" w:space="0"/>
            </w:tcBorders>
            <w:noWrap/>
            <w:vAlign w:val="center"/>
          </w:tcPr>
          <w:p w14:paraId="32133DD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9</w:t>
            </w:r>
          </w:p>
        </w:tc>
      </w:tr>
      <w:tr w14:paraId="3694A940">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19ADA7D9">
            <w:pPr>
              <w:widowControl/>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bidi="ar"/>
              </w:rPr>
              <w:t>9</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11054C6E">
            <w:pPr>
              <w:widowControl/>
              <w:jc w:val="center"/>
              <w:textAlignment w:val="center"/>
              <w:rPr>
                <w:rFonts w:hint="eastAsia" w:ascii="宋体" w:hAnsi="宋体" w:eastAsia="宋体" w:cs="宋体"/>
                <w:color w:val="000000"/>
                <w:kern w:val="0"/>
                <w:sz w:val="18"/>
                <w:szCs w:val="18"/>
                <w:lang w:bidi="ar"/>
              </w:rPr>
            </w:pPr>
          </w:p>
          <w:p w14:paraId="461A7752">
            <w:pPr>
              <w:widowControl/>
              <w:jc w:val="center"/>
              <w:textAlignment w:val="center"/>
              <w:rPr>
                <w:rFonts w:hint="eastAsia" w:ascii="宋体" w:hAnsi="宋体" w:eastAsia="宋体" w:cs="宋体"/>
                <w:color w:val="000000"/>
                <w:kern w:val="0"/>
                <w:sz w:val="18"/>
                <w:szCs w:val="18"/>
                <w:lang w:bidi="ar"/>
              </w:rPr>
            </w:pPr>
          </w:p>
          <w:p w14:paraId="3149E9ED">
            <w:pPr>
              <w:widowControl/>
              <w:jc w:val="center"/>
              <w:textAlignment w:val="center"/>
              <w:rPr>
                <w:rFonts w:hint="eastAsia" w:ascii="宋体" w:hAnsi="宋体" w:eastAsia="宋体" w:cs="宋体"/>
                <w:color w:val="000000"/>
                <w:kern w:val="0"/>
                <w:sz w:val="18"/>
                <w:szCs w:val="18"/>
                <w:lang w:bidi="ar"/>
              </w:rPr>
            </w:pPr>
          </w:p>
          <w:p w14:paraId="5B985B31">
            <w:pPr>
              <w:widowControl/>
              <w:jc w:val="center"/>
              <w:textAlignment w:val="center"/>
              <w:rPr>
                <w:rFonts w:hint="eastAsia" w:ascii="宋体" w:hAnsi="宋体" w:eastAsia="宋体" w:cs="宋体"/>
                <w:color w:val="000000"/>
                <w:kern w:val="0"/>
                <w:sz w:val="18"/>
                <w:szCs w:val="18"/>
                <w:lang w:bidi="ar"/>
              </w:rPr>
            </w:pPr>
          </w:p>
          <w:p w14:paraId="058BB331">
            <w:pPr>
              <w:widowControl/>
              <w:jc w:val="center"/>
              <w:textAlignment w:val="center"/>
              <w:rPr>
                <w:rFonts w:hint="eastAsia" w:ascii="宋体" w:hAnsi="宋体" w:eastAsia="宋体" w:cs="宋体"/>
                <w:color w:val="000000"/>
                <w:kern w:val="0"/>
                <w:sz w:val="18"/>
                <w:szCs w:val="18"/>
                <w:lang w:bidi="ar"/>
              </w:rPr>
            </w:pPr>
          </w:p>
          <w:p w14:paraId="76623D05">
            <w:pPr>
              <w:widowControl/>
              <w:jc w:val="center"/>
              <w:textAlignment w:val="center"/>
              <w:rPr>
                <w:rFonts w:hint="eastAsia" w:ascii="宋体" w:hAnsi="宋体" w:eastAsia="宋体" w:cs="宋体"/>
                <w:color w:val="000000"/>
                <w:kern w:val="0"/>
                <w:sz w:val="18"/>
                <w:szCs w:val="18"/>
                <w:lang w:bidi="ar"/>
              </w:rPr>
            </w:pPr>
          </w:p>
          <w:p w14:paraId="57045814">
            <w:pPr>
              <w:widowControl/>
              <w:jc w:val="center"/>
              <w:textAlignment w:val="center"/>
              <w:rPr>
                <w:rFonts w:hint="eastAsia" w:ascii="宋体" w:hAnsi="宋体" w:eastAsia="宋体" w:cs="宋体"/>
                <w:color w:val="000000"/>
                <w:kern w:val="0"/>
                <w:sz w:val="18"/>
                <w:szCs w:val="18"/>
                <w:lang w:bidi="ar"/>
              </w:rPr>
            </w:pPr>
          </w:p>
          <w:p w14:paraId="25A1154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bdr w:val="single" w:color="000000" w:sz="4" w:space="0"/>
                <w:lang w:bidi="ar"/>
              </w:rPr>
              <w:drawing>
                <wp:anchor distT="0" distB="0" distL="114300" distR="114300" simplePos="0" relativeHeight="251664384" behindDoc="0" locked="0" layoutInCell="1" allowOverlap="1">
                  <wp:simplePos x="0" y="0"/>
                  <wp:positionH relativeFrom="column">
                    <wp:posOffset>85090</wp:posOffset>
                  </wp:positionH>
                  <wp:positionV relativeFrom="paragraph">
                    <wp:posOffset>0</wp:posOffset>
                  </wp:positionV>
                  <wp:extent cx="9525" cy="30480"/>
                  <wp:effectExtent l="0" t="0" r="0" b="0"/>
                  <wp:wrapNone/>
                  <wp:docPr id="24" name="Picture_122_SpCnt_19"/>
                  <wp:cNvGraphicFramePr/>
                  <a:graphic xmlns:a="http://schemas.openxmlformats.org/drawingml/2006/main">
                    <a:graphicData uri="http://schemas.openxmlformats.org/drawingml/2006/picture">
                      <pic:pic xmlns:pic="http://schemas.openxmlformats.org/drawingml/2006/picture">
                        <pic:nvPicPr>
                          <pic:cNvPr id="24" name="Picture_122_SpCnt_19"/>
                          <pic:cNvPicPr/>
                        </pic:nvPicPr>
                        <pic:blipFill>
                          <a:blip r:embed="rId6"/>
                          <a:stretch>
                            <a:fillRect/>
                          </a:stretch>
                        </pic:blipFill>
                        <pic:spPr>
                          <a:xfrm>
                            <a:off x="0" y="0"/>
                            <a:ext cx="9525" cy="30480"/>
                          </a:xfrm>
                          <a:prstGeom prst="rect">
                            <a:avLst/>
                          </a:prstGeom>
                          <a:noFill/>
                          <a:ln>
                            <a:noFill/>
                          </a:ln>
                        </pic:spPr>
                      </pic:pic>
                    </a:graphicData>
                  </a:graphic>
                </wp:anchor>
              </w:drawing>
            </w:r>
            <w:r>
              <w:rPr>
                <w:rFonts w:hint="eastAsia" w:ascii="宋体" w:hAnsi="宋体" w:eastAsia="宋体" w:cs="宋体"/>
                <w:color w:val="000000"/>
                <w:kern w:val="0"/>
                <w:sz w:val="18"/>
                <w:szCs w:val="18"/>
                <w:lang w:bidi="ar"/>
              </w:rPr>
              <w:t>智能LED黑板灯</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01EE73DE">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82816" behindDoc="0" locked="0" layoutInCell="1" allowOverlap="1">
                  <wp:simplePos x="0" y="0"/>
                  <wp:positionH relativeFrom="column">
                    <wp:posOffset>0</wp:posOffset>
                  </wp:positionH>
                  <wp:positionV relativeFrom="paragraph">
                    <wp:posOffset>0</wp:posOffset>
                  </wp:positionV>
                  <wp:extent cx="1905" cy="30480"/>
                  <wp:effectExtent l="0" t="0" r="0" b="0"/>
                  <wp:wrapNone/>
                  <wp:docPr id="50" name="图片 37"/>
                  <wp:cNvGraphicFramePr/>
                  <a:graphic xmlns:a="http://schemas.openxmlformats.org/drawingml/2006/main">
                    <a:graphicData uri="http://schemas.openxmlformats.org/drawingml/2006/picture">
                      <pic:pic xmlns:pic="http://schemas.openxmlformats.org/drawingml/2006/picture">
                        <pic:nvPicPr>
                          <pic:cNvPr id="50" name="图片 37"/>
                          <pic:cNvPicPr/>
                        </pic:nvPicPr>
                        <pic:blipFill>
                          <a:blip r:embed="rId6"/>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lang w:val="en-US" w:eastAsia="zh-CN" w:bidi="ar"/>
              </w:rPr>
              <w:t>1、一体式LED防眩灯具，额定功率≤55W，尺寸长度≥1200mm。  2、LED黑板灯色温（相关色温）满足3300-5300K。  3、LED黑板灯显色指数满足Ra≥90、R9≥50。  4、LED黑板灯色容差（或色品容差）≤5 SDCM。  5、LED黑板灯正常燃点6000小时或以上时间的光通维持率应不低于93%。  6、LED黑板灯人体电磁辐射测试满足20kHz-10MHz感应电流密度系数≤0.85。   7、整灯通过国家强制性CCC认证。   8、LED黑板灯频闪无危害或无显著影响或无频闪危害。   9、LED黑板灯蓝光无危害或危害等级为RG0（0类危险）。   10、LED黑板灯电器电子产品认证结果符合《GB/T 26572》及《GB/T 26125》标准要求。  11、LED黑板灯至少依据但不限于《GB 7793》《GB 50034》《GB/T5700》《T/JYBZ 005》及《GB 7000.1》标准通过光环境认证。  12、智能控制：根据教学场景配置≥4种默认场景模式，支持快速配置；场景快速切换，根据使用需求能够快速切换整体灯光照明状态。</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2748C6C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692" w:type="dxa"/>
            <w:gridSpan w:val="2"/>
            <w:tcBorders>
              <w:top w:val="single" w:color="000000" w:sz="4" w:space="0"/>
              <w:left w:val="single" w:color="000000" w:sz="4" w:space="0"/>
              <w:bottom w:val="single" w:color="000000" w:sz="4" w:space="0"/>
              <w:right w:val="single" w:color="000000" w:sz="4" w:space="0"/>
            </w:tcBorders>
            <w:noWrap/>
            <w:vAlign w:val="center"/>
          </w:tcPr>
          <w:p w14:paraId="0B61614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w:t>
            </w:r>
          </w:p>
        </w:tc>
      </w:tr>
      <w:tr w14:paraId="47D8CAAF">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16B2E819">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10</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76ADD96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智慧面板</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2AEEF9A6">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1、额定电源电压：100-240V～；电源电流：2.0A；电源频率：50/60Hz。  2、功率因数：≥0.7。  3、环境温度ta：≥40℃。  4、工作温度tc：≥70℃。  5、所适用的灯的额定功率或功率范围：≤200W/每路。  6、具备RJ45网络接口，同时具备WIFI、Bluetooth和Zigbee协议通讯能力。  7、通讯距离：≥40m。  8、设备接入数：≥30个。  9、具备液晶界面，触摸操作，直观显示、反馈当前操作结果。  10、支持场景一键切换功能，默认≥4场景模式；支持场景配置功能，可自定义编辑场景。</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193431C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692" w:type="dxa"/>
            <w:gridSpan w:val="2"/>
            <w:tcBorders>
              <w:top w:val="single" w:color="000000" w:sz="4" w:space="0"/>
              <w:left w:val="single" w:color="000000" w:sz="4" w:space="0"/>
              <w:bottom w:val="single" w:color="000000" w:sz="4" w:space="0"/>
              <w:right w:val="single" w:color="000000" w:sz="4" w:space="0"/>
            </w:tcBorders>
            <w:noWrap/>
            <w:vAlign w:val="center"/>
          </w:tcPr>
          <w:p w14:paraId="7E72098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r>
      <w:tr w14:paraId="06027D4F">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6377B106">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11</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2CEF4BC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bdr w:val="single" w:color="000000" w:sz="4" w:space="0"/>
                <w:lang w:bidi="ar"/>
              </w:rPr>
              <w:drawing>
                <wp:anchor distT="0" distB="0" distL="114300" distR="114300" simplePos="0" relativeHeight="251665408" behindDoc="0" locked="0" layoutInCell="1" allowOverlap="1">
                  <wp:simplePos x="0" y="0"/>
                  <wp:positionH relativeFrom="column">
                    <wp:posOffset>85090</wp:posOffset>
                  </wp:positionH>
                  <wp:positionV relativeFrom="paragraph">
                    <wp:posOffset>0</wp:posOffset>
                  </wp:positionV>
                  <wp:extent cx="9525" cy="30480"/>
                  <wp:effectExtent l="0" t="0" r="0" b="0"/>
                  <wp:wrapNone/>
                  <wp:docPr id="40" name="Picture_122_SpCnt_21"/>
                  <wp:cNvGraphicFramePr/>
                  <a:graphic xmlns:a="http://schemas.openxmlformats.org/drawingml/2006/main">
                    <a:graphicData uri="http://schemas.openxmlformats.org/drawingml/2006/picture">
                      <pic:pic xmlns:pic="http://schemas.openxmlformats.org/drawingml/2006/picture">
                        <pic:nvPicPr>
                          <pic:cNvPr id="40" name="Picture_122_SpCnt_21"/>
                          <pic:cNvPicPr/>
                        </pic:nvPicPr>
                        <pic:blipFill>
                          <a:blip r:embed="rId4"/>
                          <a:stretch>
                            <a:fillRect/>
                          </a:stretch>
                        </pic:blipFill>
                        <pic:spPr>
                          <a:xfrm>
                            <a:off x="0" y="0"/>
                            <a:ext cx="9525" cy="30480"/>
                          </a:xfrm>
                          <a:prstGeom prst="rect">
                            <a:avLst/>
                          </a:prstGeom>
                          <a:noFill/>
                          <a:ln>
                            <a:noFill/>
                          </a:ln>
                        </pic:spPr>
                      </pic:pic>
                    </a:graphicData>
                  </a:graphic>
                </wp:anchor>
              </w:drawing>
            </w:r>
            <w:r>
              <w:rPr>
                <w:rFonts w:hint="eastAsia" w:ascii="宋体" w:hAnsi="宋体" w:eastAsia="宋体" w:cs="宋体"/>
                <w:color w:val="000000"/>
                <w:kern w:val="0"/>
                <w:sz w:val="18"/>
                <w:szCs w:val="18"/>
                <w:lang w:bidi="ar"/>
              </w:rPr>
              <w:t>配电箱</w:t>
            </w:r>
          </w:p>
        </w:tc>
        <w:tc>
          <w:tcPr>
            <w:tcW w:w="5207" w:type="dxa"/>
            <w:tcBorders>
              <w:top w:val="single" w:color="000000" w:sz="4" w:space="0"/>
              <w:left w:val="single" w:color="000000" w:sz="4" w:space="0"/>
              <w:bottom w:val="single" w:color="000000" w:sz="4" w:space="0"/>
              <w:right w:val="single" w:color="000000" w:sz="4" w:space="0"/>
            </w:tcBorders>
            <w:noWrap/>
            <w:vAlign w:val="center"/>
          </w:tcPr>
          <w:p w14:paraId="4E7442EE">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83840" behindDoc="0" locked="0" layoutInCell="1" allowOverlap="1">
                  <wp:simplePos x="0" y="0"/>
                  <wp:positionH relativeFrom="column">
                    <wp:posOffset>0</wp:posOffset>
                  </wp:positionH>
                  <wp:positionV relativeFrom="paragraph">
                    <wp:posOffset>0</wp:posOffset>
                  </wp:positionV>
                  <wp:extent cx="1905" cy="30480"/>
                  <wp:effectExtent l="0" t="0" r="0" b="0"/>
                  <wp:wrapNone/>
                  <wp:docPr id="48" name="图片 39"/>
                  <wp:cNvGraphicFramePr/>
                  <a:graphic xmlns:a="http://schemas.openxmlformats.org/drawingml/2006/main">
                    <a:graphicData uri="http://schemas.openxmlformats.org/drawingml/2006/picture">
                      <pic:pic xmlns:pic="http://schemas.openxmlformats.org/drawingml/2006/picture">
                        <pic:nvPicPr>
                          <pic:cNvPr id="48" name="图片 39"/>
                          <pic:cNvPicPr/>
                        </pic:nvPicPr>
                        <pic:blipFill>
                          <a:blip r:embed="rId4"/>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lang w:val="en-US" w:eastAsia="zh-CN" w:bidi="ar"/>
              </w:rPr>
              <w:t>正泰或施耐德全系配套空开漏保</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031A7B6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692" w:type="dxa"/>
            <w:gridSpan w:val="2"/>
            <w:tcBorders>
              <w:top w:val="single" w:color="000000" w:sz="4" w:space="0"/>
              <w:left w:val="single" w:color="000000" w:sz="4" w:space="0"/>
              <w:bottom w:val="single" w:color="000000" w:sz="4" w:space="0"/>
              <w:right w:val="single" w:color="000000" w:sz="4" w:space="0"/>
            </w:tcBorders>
            <w:noWrap/>
            <w:vAlign w:val="center"/>
          </w:tcPr>
          <w:p w14:paraId="661E1BE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r>
      <w:tr w14:paraId="760CDBFE">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10389A9D">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12</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6E855C5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入户线缆</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7799EA93">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5*16国标线缆，含线管等辅材</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04376BA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m</w:t>
            </w:r>
          </w:p>
        </w:tc>
        <w:tc>
          <w:tcPr>
            <w:tcW w:w="692" w:type="dxa"/>
            <w:gridSpan w:val="2"/>
            <w:tcBorders>
              <w:top w:val="single" w:color="000000" w:sz="4" w:space="0"/>
              <w:left w:val="single" w:color="000000" w:sz="4" w:space="0"/>
              <w:bottom w:val="single" w:color="000000" w:sz="4" w:space="0"/>
              <w:right w:val="single" w:color="000000" w:sz="4" w:space="0"/>
            </w:tcBorders>
            <w:noWrap/>
            <w:vAlign w:val="center"/>
          </w:tcPr>
          <w:p w14:paraId="5C272DB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w:t>
            </w:r>
          </w:p>
        </w:tc>
      </w:tr>
      <w:tr w14:paraId="10449641">
        <w:tblPrEx>
          <w:tblCellMar>
            <w:top w:w="0" w:type="dxa"/>
            <w:left w:w="108" w:type="dxa"/>
            <w:bottom w:w="0" w:type="dxa"/>
            <w:right w:w="108" w:type="dxa"/>
          </w:tblCellMar>
        </w:tblPrEx>
        <w:trPr>
          <w:trHeight w:val="205"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6457CAF2">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13</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4FBC458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线路线缆</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3B24E9F1">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 xml:space="preserve"> 国标阻燃线BVR2.5.4平方及6平方电源线*3含镀锌桥架，含人工</w:t>
            </w:r>
          </w:p>
        </w:tc>
        <w:tc>
          <w:tcPr>
            <w:tcW w:w="675" w:type="dxa"/>
            <w:tcBorders>
              <w:top w:val="single" w:color="000000" w:sz="4" w:space="0"/>
              <w:left w:val="single" w:color="000000" w:sz="4" w:space="0"/>
              <w:bottom w:val="single" w:color="000000" w:sz="4" w:space="0"/>
              <w:right w:val="single" w:color="000000" w:sz="4" w:space="0"/>
            </w:tcBorders>
            <w:noWrap/>
            <w:vAlign w:val="center"/>
          </w:tcPr>
          <w:p w14:paraId="6E6653A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692" w:type="dxa"/>
            <w:gridSpan w:val="2"/>
            <w:tcBorders>
              <w:top w:val="single" w:color="000000" w:sz="4" w:space="0"/>
              <w:left w:val="single" w:color="000000" w:sz="4" w:space="0"/>
              <w:bottom w:val="single" w:color="000000" w:sz="4" w:space="0"/>
              <w:right w:val="single" w:color="000000" w:sz="4" w:space="0"/>
            </w:tcBorders>
            <w:noWrap/>
            <w:vAlign w:val="center"/>
          </w:tcPr>
          <w:p w14:paraId="3736415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137</w:t>
            </w:r>
          </w:p>
        </w:tc>
      </w:tr>
      <w:tr w14:paraId="2D0C6C4F">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411575D8">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14</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3D7D61A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多功能插座</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2A5EB061">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多功能插座</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09F1D81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0E74547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43</w:t>
            </w:r>
          </w:p>
        </w:tc>
      </w:tr>
      <w:tr w14:paraId="19026B20">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2F42F893">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15</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0D32B60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六类网线</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6B60E1A1">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六类网线</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13F2F45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箱</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5694C4A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r>
      <w:tr w14:paraId="26C85990">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2EE31B09">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16</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4A10F40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水晶头</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714B9C29">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六类水晶头</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3EF3FAD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盒</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770ED45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r>
      <w:tr w14:paraId="1C87FFFE">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56251871">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17</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061DE94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PVC线管</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2E4D47D6">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PVC线管</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1CDB9A7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米</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228350E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80</w:t>
            </w:r>
          </w:p>
        </w:tc>
      </w:tr>
      <w:tr w14:paraId="2E83145D">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1E2389F9">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18</w:t>
            </w:r>
          </w:p>
        </w:tc>
        <w:tc>
          <w:tcPr>
            <w:tcW w:w="1304" w:type="dxa"/>
            <w:tcBorders>
              <w:top w:val="single" w:color="000000" w:sz="4" w:space="0"/>
              <w:left w:val="single" w:color="000000" w:sz="4" w:space="0"/>
              <w:bottom w:val="single" w:color="000000" w:sz="4" w:space="0"/>
              <w:right w:val="single" w:color="000000" w:sz="4" w:space="0"/>
            </w:tcBorders>
            <w:noWrap/>
            <w:vAlign w:val="center"/>
          </w:tcPr>
          <w:p w14:paraId="60D74E5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综合布线</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66D47CB1">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强弱电综合布线，供电、网络(含胶布、音频线等辅材，设备安装调试、培训、人工费用等）</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05E8BEE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点</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5708E63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43</w:t>
            </w:r>
          </w:p>
        </w:tc>
      </w:tr>
      <w:tr w14:paraId="693B7726">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4B7E417D">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19</w:t>
            </w:r>
          </w:p>
        </w:tc>
        <w:tc>
          <w:tcPr>
            <w:tcW w:w="1304" w:type="dxa"/>
            <w:tcBorders>
              <w:top w:val="single" w:color="000000" w:sz="4" w:space="0"/>
              <w:left w:val="single" w:color="000000" w:sz="4" w:space="0"/>
              <w:bottom w:val="single" w:color="000000" w:sz="4" w:space="0"/>
              <w:right w:val="single" w:color="000000" w:sz="4" w:space="0"/>
            </w:tcBorders>
            <w:noWrap/>
            <w:vAlign w:val="center"/>
          </w:tcPr>
          <w:p w14:paraId="4D338D9C">
            <w:pPr>
              <w:widowControl/>
              <w:jc w:val="center"/>
              <w:textAlignment w:val="center"/>
              <w:rPr>
                <w:rFonts w:hint="eastAsia" w:ascii="宋体" w:hAnsi="宋体" w:eastAsia="宋体" w:cs="宋体"/>
                <w:color w:val="000000"/>
                <w:kern w:val="0"/>
                <w:sz w:val="18"/>
                <w:szCs w:val="18"/>
                <w:lang w:bidi="ar"/>
              </w:rPr>
            </w:pPr>
          </w:p>
          <w:p w14:paraId="071F6F18">
            <w:pPr>
              <w:widowControl/>
              <w:jc w:val="center"/>
              <w:textAlignment w:val="center"/>
              <w:rPr>
                <w:rFonts w:hint="eastAsia" w:ascii="宋体" w:hAnsi="宋体" w:eastAsia="宋体" w:cs="宋体"/>
                <w:color w:val="000000"/>
                <w:kern w:val="0"/>
                <w:sz w:val="18"/>
                <w:szCs w:val="18"/>
                <w:lang w:bidi="ar"/>
              </w:rPr>
            </w:pPr>
          </w:p>
          <w:p w14:paraId="7D0F2B4C">
            <w:pPr>
              <w:widowControl/>
              <w:jc w:val="center"/>
              <w:textAlignment w:val="center"/>
              <w:rPr>
                <w:rFonts w:hint="eastAsia" w:ascii="宋体" w:hAnsi="宋体" w:eastAsia="宋体" w:cs="宋体"/>
                <w:color w:val="000000"/>
                <w:kern w:val="0"/>
                <w:sz w:val="18"/>
                <w:szCs w:val="18"/>
                <w:lang w:bidi="ar"/>
              </w:rPr>
            </w:pPr>
          </w:p>
          <w:p w14:paraId="62EBCBD9">
            <w:pPr>
              <w:widowControl/>
              <w:jc w:val="center"/>
              <w:textAlignment w:val="center"/>
              <w:rPr>
                <w:rFonts w:hint="eastAsia" w:ascii="宋体" w:hAnsi="宋体" w:eastAsia="宋体" w:cs="宋体"/>
                <w:color w:val="000000"/>
                <w:kern w:val="0"/>
                <w:sz w:val="18"/>
                <w:szCs w:val="18"/>
                <w:lang w:bidi="ar"/>
              </w:rPr>
            </w:pPr>
          </w:p>
          <w:p w14:paraId="1C2236C2">
            <w:pPr>
              <w:widowControl/>
              <w:jc w:val="center"/>
              <w:textAlignment w:val="center"/>
              <w:rPr>
                <w:rFonts w:hint="eastAsia" w:ascii="宋体" w:hAnsi="宋体" w:eastAsia="宋体" w:cs="宋体"/>
                <w:color w:val="000000"/>
                <w:kern w:val="0"/>
                <w:sz w:val="18"/>
                <w:szCs w:val="18"/>
                <w:lang w:bidi="ar"/>
              </w:rPr>
            </w:pPr>
          </w:p>
          <w:p w14:paraId="55162BDC">
            <w:pPr>
              <w:widowControl/>
              <w:jc w:val="center"/>
              <w:textAlignment w:val="center"/>
              <w:rPr>
                <w:rFonts w:hint="eastAsia" w:ascii="宋体" w:hAnsi="宋体" w:eastAsia="宋体" w:cs="宋体"/>
                <w:color w:val="000000"/>
                <w:kern w:val="0"/>
                <w:sz w:val="18"/>
                <w:szCs w:val="18"/>
                <w:lang w:bidi="ar"/>
              </w:rPr>
            </w:pPr>
          </w:p>
          <w:p w14:paraId="49CB4D16">
            <w:pPr>
              <w:widowControl/>
              <w:jc w:val="center"/>
              <w:textAlignment w:val="center"/>
              <w:rPr>
                <w:rFonts w:hint="eastAsia" w:ascii="宋体" w:hAnsi="宋体" w:eastAsia="宋体" w:cs="宋体"/>
                <w:color w:val="000000"/>
                <w:kern w:val="0"/>
                <w:sz w:val="18"/>
                <w:szCs w:val="18"/>
                <w:lang w:bidi="ar"/>
              </w:rPr>
            </w:pPr>
          </w:p>
          <w:p w14:paraId="0EDEBC02">
            <w:pPr>
              <w:widowControl/>
              <w:jc w:val="center"/>
              <w:textAlignment w:val="center"/>
              <w:rPr>
                <w:rFonts w:hint="eastAsia" w:ascii="宋体" w:hAnsi="宋体" w:eastAsia="宋体" w:cs="宋体"/>
                <w:color w:val="000000"/>
                <w:kern w:val="0"/>
                <w:sz w:val="18"/>
                <w:szCs w:val="18"/>
                <w:lang w:bidi="ar"/>
              </w:rPr>
            </w:pPr>
          </w:p>
          <w:p w14:paraId="63E76063">
            <w:pPr>
              <w:widowControl/>
              <w:jc w:val="center"/>
              <w:textAlignment w:val="center"/>
              <w:rPr>
                <w:rFonts w:hint="eastAsia" w:ascii="宋体" w:hAnsi="宋体" w:eastAsia="宋体" w:cs="宋体"/>
                <w:color w:val="000000"/>
                <w:kern w:val="0"/>
                <w:sz w:val="18"/>
                <w:szCs w:val="18"/>
                <w:lang w:bidi="ar"/>
              </w:rPr>
            </w:pPr>
          </w:p>
          <w:p w14:paraId="727905C2">
            <w:pPr>
              <w:widowControl/>
              <w:jc w:val="center"/>
              <w:textAlignment w:val="center"/>
              <w:rPr>
                <w:rFonts w:hint="eastAsia" w:ascii="宋体" w:hAnsi="宋体" w:eastAsia="宋体" w:cs="宋体"/>
                <w:color w:val="000000"/>
                <w:kern w:val="0"/>
                <w:sz w:val="18"/>
                <w:szCs w:val="18"/>
                <w:lang w:bidi="ar"/>
              </w:rPr>
            </w:pPr>
          </w:p>
          <w:p w14:paraId="242058AE">
            <w:pPr>
              <w:widowControl/>
              <w:jc w:val="center"/>
              <w:textAlignment w:val="center"/>
              <w:rPr>
                <w:rFonts w:hint="eastAsia" w:ascii="宋体" w:hAnsi="宋体" w:eastAsia="宋体" w:cs="宋体"/>
                <w:color w:val="000000"/>
                <w:kern w:val="0"/>
                <w:sz w:val="18"/>
                <w:szCs w:val="18"/>
                <w:lang w:bidi="ar"/>
              </w:rPr>
            </w:pPr>
          </w:p>
          <w:p w14:paraId="2BADC648">
            <w:pPr>
              <w:widowControl/>
              <w:jc w:val="center"/>
              <w:textAlignment w:val="center"/>
              <w:rPr>
                <w:rFonts w:hint="eastAsia" w:ascii="宋体" w:hAnsi="宋体" w:eastAsia="宋体" w:cs="宋体"/>
                <w:color w:val="000000"/>
                <w:kern w:val="0"/>
                <w:sz w:val="18"/>
                <w:szCs w:val="18"/>
                <w:lang w:bidi="ar"/>
              </w:rPr>
            </w:pPr>
          </w:p>
          <w:p w14:paraId="273B0AC2">
            <w:pPr>
              <w:widowControl/>
              <w:jc w:val="center"/>
              <w:textAlignment w:val="center"/>
              <w:rPr>
                <w:rFonts w:hint="eastAsia" w:ascii="宋体" w:hAnsi="宋体" w:eastAsia="宋体" w:cs="宋体"/>
                <w:color w:val="000000"/>
                <w:kern w:val="0"/>
                <w:sz w:val="18"/>
                <w:szCs w:val="18"/>
                <w:lang w:bidi="ar"/>
              </w:rPr>
            </w:pPr>
          </w:p>
          <w:p w14:paraId="791C8D92">
            <w:pPr>
              <w:widowControl/>
              <w:jc w:val="center"/>
              <w:textAlignment w:val="center"/>
              <w:rPr>
                <w:rFonts w:hint="eastAsia" w:ascii="宋体" w:hAnsi="宋体" w:eastAsia="宋体" w:cs="宋体"/>
                <w:color w:val="000000"/>
                <w:kern w:val="0"/>
                <w:sz w:val="18"/>
                <w:szCs w:val="18"/>
                <w:lang w:bidi="ar"/>
              </w:rPr>
            </w:pPr>
          </w:p>
          <w:p w14:paraId="784E558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bdr w:val="single" w:color="000000" w:sz="4" w:space="0"/>
                <w:lang w:bidi="ar"/>
              </w:rPr>
              <w:drawing>
                <wp:anchor distT="0" distB="0" distL="114300" distR="114300" simplePos="0" relativeHeight="251666432" behindDoc="0" locked="0" layoutInCell="1" allowOverlap="1">
                  <wp:simplePos x="0" y="0"/>
                  <wp:positionH relativeFrom="column">
                    <wp:posOffset>85090</wp:posOffset>
                  </wp:positionH>
                  <wp:positionV relativeFrom="paragraph">
                    <wp:posOffset>0</wp:posOffset>
                  </wp:positionV>
                  <wp:extent cx="9525" cy="30480"/>
                  <wp:effectExtent l="0" t="0" r="0" b="0"/>
                  <wp:wrapNone/>
                  <wp:docPr id="33" name="Picture_122_SpCnt_24"/>
                  <wp:cNvGraphicFramePr/>
                  <a:graphic xmlns:a="http://schemas.openxmlformats.org/drawingml/2006/main">
                    <a:graphicData uri="http://schemas.openxmlformats.org/drawingml/2006/picture">
                      <pic:pic xmlns:pic="http://schemas.openxmlformats.org/drawingml/2006/picture">
                        <pic:nvPicPr>
                          <pic:cNvPr id="33" name="Picture_122_SpCnt_24"/>
                          <pic:cNvPicPr/>
                        </pic:nvPicPr>
                        <pic:blipFill>
                          <a:blip r:embed="rId4"/>
                          <a:stretch>
                            <a:fillRect/>
                          </a:stretch>
                        </pic:blipFill>
                        <pic:spPr>
                          <a:xfrm>
                            <a:off x="0" y="0"/>
                            <a:ext cx="9525" cy="30480"/>
                          </a:xfrm>
                          <a:prstGeom prst="rect">
                            <a:avLst/>
                          </a:prstGeom>
                          <a:noFill/>
                          <a:ln>
                            <a:noFill/>
                          </a:ln>
                        </pic:spPr>
                      </pic:pic>
                    </a:graphicData>
                  </a:graphic>
                </wp:anchor>
              </w:drawing>
            </w:r>
            <w:r>
              <w:rPr>
                <w:rFonts w:hint="eastAsia" w:ascii="宋体" w:hAnsi="宋体" w:eastAsia="宋体" w:cs="宋体"/>
                <w:color w:val="000000"/>
                <w:kern w:val="0"/>
                <w:sz w:val="18"/>
                <w:szCs w:val="18"/>
                <w:bdr w:val="single" w:color="000000" w:sz="4" w:space="0"/>
                <w:lang w:bidi="ar"/>
              </w:rPr>
              <w:drawing>
                <wp:anchor distT="0" distB="0" distL="114300" distR="114300" simplePos="0" relativeHeight="251667456" behindDoc="0" locked="0" layoutInCell="1" allowOverlap="1">
                  <wp:simplePos x="0" y="0"/>
                  <wp:positionH relativeFrom="column">
                    <wp:posOffset>85090</wp:posOffset>
                  </wp:positionH>
                  <wp:positionV relativeFrom="paragraph">
                    <wp:posOffset>0</wp:posOffset>
                  </wp:positionV>
                  <wp:extent cx="9525" cy="31115"/>
                  <wp:effectExtent l="0" t="0" r="0" b="0"/>
                  <wp:wrapNone/>
                  <wp:docPr id="39" name="Picture_122_SpCnt_25"/>
                  <wp:cNvGraphicFramePr/>
                  <a:graphic xmlns:a="http://schemas.openxmlformats.org/drawingml/2006/main">
                    <a:graphicData uri="http://schemas.openxmlformats.org/drawingml/2006/picture">
                      <pic:pic xmlns:pic="http://schemas.openxmlformats.org/drawingml/2006/picture">
                        <pic:nvPicPr>
                          <pic:cNvPr id="39" name="Picture_122_SpCnt_25"/>
                          <pic:cNvPicPr/>
                        </pic:nvPicPr>
                        <pic:blipFill>
                          <a:blip r:embed="rId4"/>
                          <a:stretch>
                            <a:fillRect/>
                          </a:stretch>
                        </pic:blipFill>
                        <pic:spPr>
                          <a:xfrm>
                            <a:off x="0" y="0"/>
                            <a:ext cx="9525" cy="31115"/>
                          </a:xfrm>
                          <a:prstGeom prst="rect">
                            <a:avLst/>
                          </a:prstGeom>
                          <a:noFill/>
                          <a:ln>
                            <a:noFill/>
                          </a:ln>
                        </pic:spPr>
                      </pic:pic>
                    </a:graphicData>
                  </a:graphic>
                </wp:anchor>
              </w:drawing>
            </w:r>
            <w:r>
              <w:rPr>
                <w:rFonts w:hint="eastAsia" w:ascii="宋体" w:hAnsi="宋体" w:eastAsia="宋体" w:cs="宋体"/>
                <w:color w:val="000000"/>
                <w:kern w:val="0"/>
                <w:sz w:val="18"/>
                <w:szCs w:val="18"/>
                <w:lang w:bidi="ar"/>
              </w:rPr>
              <w:t>不良信息过滤软件</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6ADE3319">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84864" behindDoc="0" locked="0" layoutInCell="1" allowOverlap="1">
                  <wp:simplePos x="0" y="0"/>
                  <wp:positionH relativeFrom="column">
                    <wp:posOffset>0</wp:posOffset>
                  </wp:positionH>
                  <wp:positionV relativeFrom="paragraph">
                    <wp:posOffset>0</wp:posOffset>
                  </wp:positionV>
                  <wp:extent cx="1905" cy="30480"/>
                  <wp:effectExtent l="0" t="0" r="0" b="0"/>
                  <wp:wrapNone/>
                  <wp:docPr id="53" name="图片 42"/>
                  <wp:cNvGraphicFramePr/>
                  <a:graphic xmlns:a="http://schemas.openxmlformats.org/drawingml/2006/main">
                    <a:graphicData uri="http://schemas.openxmlformats.org/drawingml/2006/picture">
                      <pic:pic xmlns:pic="http://schemas.openxmlformats.org/drawingml/2006/picture">
                        <pic:nvPicPr>
                          <pic:cNvPr id="53" name="图片 42"/>
                          <pic:cNvPicPr/>
                        </pic:nvPicPr>
                        <pic:blipFill>
                          <a:blip r:embed="rId5"/>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85888" behindDoc="0" locked="0" layoutInCell="1" allowOverlap="1">
                  <wp:simplePos x="0" y="0"/>
                  <wp:positionH relativeFrom="column">
                    <wp:posOffset>0</wp:posOffset>
                  </wp:positionH>
                  <wp:positionV relativeFrom="paragraph">
                    <wp:posOffset>0</wp:posOffset>
                  </wp:positionV>
                  <wp:extent cx="1905" cy="30480"/>
                  <wp:effectExtent l="0" t="0" r="0" b="0"/>
                  <wp:wrapNone/>
                  <wp:docPr id="51" name="Picture_122_SpCnt_11"/>
                  <wp:cNvGraphicFramePr/>
                  <a:graphic xmlns:a="http://schemas.openxmlformats.org/drawingml/2006/main">
                    <a:graphicData uri="http://schemas.openxmlformats.org/drawingml/2006/picture">
                      <pic:pic xmlns:pic="http://schemas.openxmlformats.org/drawingml/2006/picture">
                        <pic:nvPicPr>
                          <pic:cNvPr id="51" name="Picture_122_SpCnt_11"/>
                          <pic:cNvPicPr/>
                        </pic:nvPicPr>
                        <pic:blipFill>
                          <a:blip r:embed="rId4"/>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lang w:val="en-US" w:eastAsia="zh-CN" w:bidi="ar"/>
              </w:rPr>
              <w:t>1、产品支持对终端系统广告弹窗实时进行内容及特征分析，并对包含低俗信息的广告弹窗进行拦载处理，全面护航教学设备绿色上网，保障教师的正常授课环境;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产品对网上内容进行实时分析，并通过网址过滤、关键字过滤、图像过滤针对网上内容中包括的不良信息访问进行实时拦截；识别策略支持高、中、低级别设置；产品支持用户手动设置黑、白名单及关键字及进程黑名单（需提供图像过滤策略设置截图、网址过滤策略设置截图及手动设置黑、白名单、关键字截图证明文件或产品功能检测报告加盖厂家或者投标人公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3、产品支持对终端运行的在线游戏进行策略分析并实时阻止游戏站点访问；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产品具备对教学设备使用时间进行管理的功能，根据策略限制终端使用时间并进行必要的提示及设备处置，安全、合理使用设备以保护青少年防止网络沉迷（需提供设备使用时间策略设置功能及终端设置限制使用时间截图证明文件并加盖厂家或者投标人公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5、产品自身包含黑、白名单及关键字资源，并支持用户自定义过滤策略，用户自定义策略优先级最高；</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产品提供日志管理功能，实时记录上网浏览信息及浏览时间、以及不良信息访问及过滤记录；产品支持按策略进行屏幕记录，详细记录设备使用过程（需提供日志分类查看功能及日志管理功能截图证明文件并加盖厂家或者投标人公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7、产品需提供管理员及普通权限，管理权限可对软件进行统一管理操作及卸载，产品支持管理员及学生角色对应策略实时切换实时升效；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8、产品最高支持到WIN11操作系统，支持32及64位系统，产品支持运行在无盘和有盘环境下，并支持云桌面系统运行；</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1BCD5F3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4B3C5C1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r>
      <w:tr w14:paraId="437B0116">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7C8F3624">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20</w:t>
            </w:r>
          </w:p>
        </w:tc>
        <w:tc>
          <w:tcPr>
            <w:tcW w:w="1304" w:type="dxa"/>
            <w:tcBorders>
              <w:top w:val="single" w:color="000000" w:sz="4" w:space="0"/>
              <w:left w:val="single" w:color="000000" w:sz="4" w:space="0"/>
              <w:bottom w:val="single" w:color="000000" w:sz="4" w:space="0"/>
              <w:right w:val="single" w:color="000000" w:sz="4" w:space="0"/>
            </w:tcBorders>
            <w:noWrap/>
            <w:vAlign w:val="center"/>
          </w:tcPr>
          <w:p w14:paraId="74D35687">
            <w:pPr>
              <w:widowControl/>
              <w:jc w:val="center"/>
              <w:textAlignment w:val="center"/>
              <w:rPr>
                <w:rFonts w:hint="eastAsia" w:ascii="宋体" w:hAnsi="宋体" w:eastAsia="宋体" w:cs="宋体"/>
                <w:color w:val="000000"/>
                <w:kern w:val="0"/>
                <w:sz w:val="18"/>
                <w:szCs w:val="18"/>
                <w:lang w:bidi="ar"/>
              </w:rPr>
            </w:pPr>
          </w:p>
          <w:p w14:paraId="664F177A">
            <w:pPr>
              <w:widowControl/>
              <w:jc w:val="center"/>
              <w:textAlignment w:val="center"/>
              <w:rPr>
                <w:rFonts w:hint="eastAsia" w:ascii="宋体" w:hAnsi="宋体" w:eastAsia="宋体" w:cs="宋体"/>
                <w:color w:val="000000"/>
                <w:kern w:val="0"/>
                <w:sz w:val="18"/>
                <w:szCs w:val="18"/>
                <w:lang w:bidi="ar"/>
              </w:rPr>
            </w:pPr>
          </w:p>
          <w:p w14:paraId="59537BE1">
            <w:pPr>
              <w:widowControl/>
              <w:jc w:val="center"/>
              <w:textAlignment w:val="center"/>
              <w:rPr>
                <w:rFonts w:hint="eastAsia" w:ascii="宋体" w:hAnsi="宋体" w:eastAsia="宋体" w:cs="宋体"/>
                <w:color w:val="000000"/>
                <w:kern w:val="0"/>
                <w:sz w:val="18"/>
                <w:szCs w:val="18"/>
                <w:lang w:bidi="ar"/>
              </w:rPr>
            </w:pPr>
          </w:p>
          <w:p w14:paraId="6CC2E7E2">
            <w:pPr>
              <w:widowControl/>
              <w:jc w:val="center"/>
              <w:textAlignment w:val="center"/>
              <w:rPr>
                <w:rFonts w:hint="eastAsia" w:ascii="宋体" w:hAnsi="宋体" w:eastAsia="宋体" w:cs="宋体"/>
                <w:color w:val="000000"/>
                <w:kern w:val="0"/>
                <w:sz w:val="18"/>
                <w:szCs w:val="18"/>
                <w:lang w:bidi="ar"/>
              </w:rPr>
            </w:pPr>
          </w:p>
          <w:p w14:paraId="57A2B907">
            <w:pPr>
              <w:widowControl/>
              <w:jc w:val="center"/>
              <w:textAlignment w:val="center"/>
              <w:rPr>
                <w:rFonts w:hint="eastAsia" w:ascii="宋体" w:hAnsi="宋体" w:eastAsia="宋体" w:cs="宋体"/>
                <w:color w:val="000000"/>
                <w:kern w:val="0"/>
                <w:sz w:val="18"/>
                <w:szCs w:val="18"/>
                <w:lang w:bidi="ar"/>
              </w:rPr>
            </w:pPr>
          </w:p>
          <w:p w14:paraId="1953A0F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bdr w:val="single" w:color="000000" w:sz="4" w:space="0"/>
                <w:lang w:bidi="ar"/>
              </w:rPr>
              <w:drawing>
                <wp:anchor distT="0" distB="0" distL="114300" distR="114300" simplePos="0" relativeHeight="251668480" behindDoc="0" locked="0" layoutInCell="1" allowOverlap="1">
                  <wp:simplePos x="0" y="0"/>
                  <wp:positionH relativeFrom="column">
                    <wp:posOffset>85090</wp:posOffset>
                  </wp:positionH>
                  <wp:positionV relativeFrom="paragraph">
                    <wp:posOffset>0</wp:posOffset>
                  </wp:positionV>
                  <wp:extent cx="9525" cy="30480"/>
                  <wp:effectExtent l="0" t="0" r="0" b="0"/>
                  <wp:wrapNone/>
                  <wp:docPr id="28" name="Picture_122_SpCnt_27"/>
                  <wp:cNvGraphicFramePr/>
                  <a:graphic xmlns:a="http://schemas.openxmlformats.org/drawingml/2006/main">
                    <a:graphicData uri="http://schemas.openxmlformats.org/drawingml/2006/picture">
                      <pic:pic xmlns:pic="http://schemas.openxmlformats.org/drawingml/2006/picture">
                        <pic:nvPicPr>
                          <pic:cNvPr id="28" name="Picture_122_SpCnt_27"/>
                          <pic:cNvPicPr/>
                        </pic:nvPicPr>
                        <pic:blipFill>
                          <a:blip r:embed="rId4"/>
                          <a:stretch>
                            <a:fillRect/>
                          </a:stretch>
                        </pic:blipFill>
                        <pic:spPr>
                          <a:xfrm>
                            <a:off x="0" y="0"/>
                            <a:ext cx="9525" cy="30480"/>
                          </a:xfrm>
                          <a:prstGeom prst="rect">
                            <a:avLst/>
                          </a:prstGeom>
                          <a:noFill/>
                          <a:ln>
                            <a:noFill/>
                          </a:ln>
                        </pic:spPr>
                      </pic:pic>
                    </a:graphicData>
                  </a:graphic>
                </wp:anchor>
              </w:drawing>
            </w:r>
            <w:r>
              <w:rPr>
                <w:rFonts w:hint="eastAsia" w:ascii="宋体" w:hAnsi="宋体" w:eastAsia="宋体" w:cs="宋体"/>
                <w:color w:val="000000"/>
                <w:kern w:val="0"/>
                <w:sz w:val="18"/>
                <w:szCs w:val="18"/>
                <w:lang w:bidi="ar"/>
              </w:rPr>
              <w:t>智慧录播主机</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63889748">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88960" behindDoc="0" locked="0" layoutInCell="1" allowOverlap="1">
                  <wp:simplePos x="0" y="0"/>
                  <wp:positionH relativeFrom="column">
                    <wp:posOffset>0</wp:posOffset>
                  </wp:positionH>
                  <wp:positionV relativeFrom="paragraph">
                    <wp:posOffset>0</wp:posOffset>
                  </wp:positionV>
                  <wp:extent cx="1905" cy="30480"/>
                  <wp:effectExtent l="0" t="0" r="0" b="0"/>
                  <wp:wrapNone/>
                  <wp:docPr id="52" name="图片 45"/>
                  <wp:cNvGraphicFramePr/>
                  <a:graphic xmlns:a="http://schemas.openxmlformats.org/drawingml/2006/main">
                    <a:graphicData uri="http://schemas.openxmlformats.org/drawingml/2006/picture">
                      <pic:pic xmlns:pic="http://schemas.openxmlformats.org/drawingml/2006/picture">
                        <pic:nvPicPr>
                          <pic:cNvPr id="52" name="图片 45"/>
                          <pic:cNvPicPr/>
                        </pic:nvPicPr>
                        <pic:blipFill>
                          <a:blip r:embed="rId4"/>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87936" behindDoc="0" locked="0" layoutInCell="1" allowOverlap="1">
                  <wp:simplePos x="0" y="0"/>
                  <wp:positionH relativeFrom="column">
                    <wp:posOffset>0</wp:posOffset>
                  </wp:positionH>
                  <wp:positionV relativeFrom="paragraph">
                    <wp:posOffset>0</wp:posOffset>
                  </wp:positionV>
                  <wp:extent cx="1905" cy="30480"/>
                  <wp:effectExtent l="0" t="0" r="0" b="0"/>
                  <wp:wrapNone/>
                  <wp:docPr id="22" name="Picture_122_SpCnt_13"/>
                  <wp:cNvGraphicFramePr/>
                  <a:graphic xmlns:a="http://schemas.openxmlformats.org/drawingml/2006/main">
                    <a:graphicData uri="http://schemas.openxmlformats.org/drawingml/2006/picture">
                      <pic:pic xmlns:pic="http://schemas.openxmlformats.org/drawingml/2006/picture">
                        <pic:nvPicPr>
                          <pic:cNvPr id="22" name="Picture_122_SpCnt_13"/>
                          <pic:cNvPicPr/>
                        </pic:nvPicPr>
                        <pic:blipFill>
                          <a:blip r:embed="rId5"/>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89984" behindDoc="0" locked="0" layoutInCell="1" allowOverlap="1">
                  <wp:simplePos x="0" y="0"/>
                  <wp:positionH relativeFrom="column">
                    <wp:posOffset>0</wp:posOffset>
                  </wp:positionH>
                  <wp:positionV relativeFrom="paragraph">
                    <wp:posOffset>0</wp:posOffset>
                  </wp:positionV>
                  <wp:extent cx="1905" cy="30480"/>
                  <wp:effectExtent l="0" t="0" r="0" b="0"/>
                  <wp:wrapNone/>
                  <wp:docPr id="23" name="Picture_122_SpCnt_14"/>
                  <wp:cNvGraphicFramePr/>
                  <a:graphic xmlns:a="http://schemas.openxmlformats.org/drawingml/2006/main">
                    <a:graphicData uri="http://schemas.openxmlformats.org/drawingml/2006/picture">
                      <pic:pic xmlns:pic="http://schemas.openxmlformats.org/drawingml/2006/picture">
                        <pic:nvPicPr>
                          <pic:cNvPr id="23" name="Picture_122_SpCnt_14"/>
                          <pic:cNvPicPr/>
                        </pic:nvPicPr>
                        <pic:blipFill>
                          <a:blip r:embed="rId5"/>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86912" behindDoc="0" locked="0" layoutInCell="1" allowOverlap="1">
                  <wp:simplePos x="0" y="0"/>
                  <wp:positionH relativeFrom="column">
                    <wp:posOffset>0</wp:posOffset>
                  </wp:positionH>
                  <wp:positionV relativeFrom="paragraph">
                    <wp:posOffset>0</wp:posOffset>
                  </wp:positionV>
                  <wp:extent cx="1905" cy="30480"/>
                  <wp:effectExtent l="0" t="0" r="0" b="0"/>
                  <wp:wrapNone/>
                  <wp:docPr id="26" name="图片 48"/>
                  <wp:cNvGraphicFramePr/>
                  <a:graphic xmlns:a="http://schemas.openxmlformats.org/drawingml/2006/main">
                    <a:graphicData uri="http://schemas.openxmlformats.org/drawingml/2006/picture">
                      <pic:pic xmlns:pic="http://schemas.openxmlformats.org/drawingml/2006/picture">
                        <pic:nvPicPr>
                          <pic:cNvPr id="26" name="图片 48"/>
                          <pic:cNvPicPr/>
                        </pic:nvPicPr>
                        <pic:blipFill>
                          <a:blip r:embed="rId5"/>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lang w:val="en-US" w:eastAsia="zh-CN" w:bidi="ar"/>
              </w:rPr>
              <w:t>1、要求录播主机为机架式设备，便于安装部署，并要求录播主机为非壁挂式架构，不存在机身触摸屏产生强光源变化从而影响学生课堂专注力。</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2、系统集成录播系统、音频处理、编解码技术为一体，更符合信息化行业有关产品发展微小型化、低功耗、智能化和高可靠性需求；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持不小于4路高清3G-SDI、支持不小于2路HDMI输入接口；不小于3路HDMI接口视频输出；（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为了满足部分双教学大屏场景，要求2路HDMI输入接口支持同时接入，能够实现两路HDMI信号采集，其中一路最高支持4K分辨率接入，并支持老师教学过程中大屏操作的全自动跟踪切换；（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5、主机内含6口交换机，其中支持不少于4口POE供电，满足老师特写、讲台全景、学生特写、学生全景信号接入需求；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6、为满足不同音频输入需求，主机音频支持不少于1路莲花（RCA）MIC IN接口、1路凤凰端子MIC IN接口、1路凤凰LINE IN接口可选，同时，主机应支持不少于1路凤凰端子输出、1路双莲花LINE OUT可选；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7、录播主机支持本地导播功能，接上鼠标、标准键盘与显示器就可实现无延时本地导播，可以扩展硬件导播台；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8、为了便于录播主机连接键鼠、导播控制键盘、USB移动存储设备，要求录播主机支持不小于3路USB接口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9、主机包含Reset按键，可以实现出厂设置恢复，能够实时初始化系统状态；</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10、主机前面板配置液晶屏，支持显示主机版本、IP地址等信息，实现清晰管理设备操控；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11、控制接口不小6路，可用于控制摄像机云台与控制面板等设备，其中一路带供电，可直接对接控制面板、无需额外给控制面板提供电源；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12、系统内置跟踪功能，无需额外配置跟踪主机即可实现智能图像识别跟踪分析与处理功能，跟踪对象不需要佩戴任何辅助装置，便可对老师和学生的动作、移动进行准确定位、跟踪，清楚的记录整个教学活动；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13、系统内置不小于2T存储空间，支持双硬盘接入，最大支持不少于16T硬盘存储空间，录制文件既可存储在本地硬盘，可以上传到云资源管理平台或第三方FTP服务器；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14、支持H.323、SIP协议，能够对接第三方视频会议终端，实现互动场景录制；</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381DF42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3C159E0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 </w:t>
            </w:r>
          </w:p>
        </w:tc>
      </w:tr>
      <w:tr w14:paraId="40F9AA25">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0E9C2C72">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21</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316EFD6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录播主机系统软件</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18B85406">
            <w:pPr>
              <w:keepNext w:val="0"/>
              <w:keepLines w:val="0"/>
              <w:widowControl/>
              <w:suppressLineNumbers w:val="0"/>
              <w:spacing w:after="180" w:afterAutospacing="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录播主机系统软件须出厂即安装于录播主机内，支持网络导播与本地导播两种导播方式；要求网络导播客户端软件支持windows以及国产操作系统、如UOS等；（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2、为了更清楚了解系统状态，系统应支持版本信息、序列号、设备型号、硬盘空间、剩余硬盘空间、跟踪机位信息、网络连接、平台接入信息等显示；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3、系统支持视频文件上传、下载、异常修复、本地点播、删除等基本功能，支持通过状态标记自动检测课件上传是否成功，对于状态标记上传失败的课件资源支持人工手动续传；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4、系统支持插入外接移动存储设备一键拷贝下载功能，并可选择多路外接移动设备；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5、系统支持异常课件修复和课件列表修复功能，在录制过程中或其他不可抗拒因素导致设备突然断电使录制的课件异常时，可通过录播主机管理页面一键修复功能，修复异常课件为正常课件资源；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6、系统支持输入音视频信号状态显示，如分辨率等；支持音频输入接口自由选择；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7、支持主机HDMI输出设定，支持分辨率、频率设置，支持HDMI输出音频开关；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8、支持教室属性设置，如常规录播教室、互动教室；并可对互动协议进行自由选择，支持H.323\SIP等标准协议，同时支持厂家私有协议互动；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录播系统支持双流、单流模式互动：单流互动时要求听讲教室一个屏幕即可显示主讲教室的人物视频主流画面与PPT或板书的辅流画面；双流互动时，听讲教室使用两台显示器，分别显示主流老师画面与副流电脑PPT、板书画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10、主讲教室可根据需要切换互动模式，如自由讨论、课间休息、对讲模式等，各互动教室录播设备跟随互动模式变化，切换为对应的画面输出效果。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11、支持与厂家小组研讨协作教学系统联动，实现更精细化的研讨型教学课程录制效果；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12、支持web端发起互动教学，包括呼叫、挂断等，可实时显示互动教学连接状态，方便管理；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支持不少于6路流媒体图像设置，每一路均支持RTSP、RTMP、HTTP等协议自由选择，并可自由选择流媒体具体内容，如电影模式，老师特写/全景，学生特写/全景，电脑信号等；（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支持IPv4、IPv6协议、支持将设备映射到公网、设置公网IP；支持网络状态检测、如上下行速度、网络抖动、丢包率等；（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15、提供管理员和访客两种用户管理，支持对用户进行密码修改设定，不同的用户是相同的后台操作应用；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支持中控对接，可选串口中控和网络中控；支持物联网MQTT标准协议，无缝对接物联网集控平台，将设备信息、状态以及基本的控制操作对接到物联网集控平台，如录制控制、直播开关等；（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17、支持对接厂家资源管理平台，实现录播集中管理，包括录制、直播、设备开关机状态、视频资源管理等应用；支持标准的FTP协议将文件上传到第三方FTP服务器进行文件统一管理；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18、支持EDID修复功能，提升HDMI接入的兼容性；</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19、支持Open ping开关，方便设备调试及网络问题处理；</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20、支持NTP服务器设置，同步系统时间；</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21、支持互动课连接端口自定义如流起始端口、UDP收发端口、调度平台端口；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22、支持同步资源平台的课表信息，支持查看课表信息包括课程名称，主讲人，开始结束时间；</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3AE66E1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6C03E57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 </w:t>
            </w:r>
          </w:p>
        </w:tc>
      </w:tr>
      <w:tr w14:paraId="7F2DA0EB">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5B817A73">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22</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2321230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互动扩声音频处理主机</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5900E130">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1、支持算法：AFC、ANS、AEC、AGC、ARR；</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持AI降噪技术，在使用过程中对环境自动感知，只对人声扩声，屏蔽脚步，敲击，风扇等各种噪声（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持声幕墙技术，能有效定位声源，可屏敝学生区域任何声音都不会扩出来，保证纯净的扩声效果（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为了保证扩声音量和质量，讲台附近的老师采用阵列麦；另外可在学生区域全向学生麦，用于在远程教学时拾取学生的声音（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5、扩声角度范围：老师麦扩声角度可覆盖 160°~180°范围的区域，在该区域内音量波动小于5db；远程教学时送给远端的拾音范围：学生麦和老师麦都是全向（即360°）拾音（提供国家认证认可监督管理委员会认证的检测机构所出具的检测报告复印件并加盖厂家公章，并提供全国认证认可信息公共服务平台对应检测报告查询记录截图）；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6、支持自动反馈抑制（AFC）：传声增益提升幅度：≥18dB，反馈抑制可有效提升本地扩音的音量，并且能防止本地啸叫；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支持自动回声消除（AEC）：回声消除幅度≥90dB；可有效消除回声，避免泄露回声，即消除由扬声器播放出来的声音被麦克风拾取的声音，避免远端发言者听到自己的声音；支持同时使用本地扩声和远程教学功能，AEC和AFC功能不相互受影响，即远端有人讲话时，不影响本地的扩声，本地扩声也不会导致回声泄露；</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8、支持自动噪声抑制（ANS）：平稳噪声抑制幅度：≥30dB，可有效压制噪音，增强语音，以提高在噪音环境下的言语清晰度；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9、支持自动增益控制（AGC）：远程互动教学时，采用自动增益控制音量提升幅度：≥15dB，在扩声时，在集体朗读等大音量场景自动抑制扩声音量；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10、支持混响抑制（ARR）：混响抑制≥18dB；在打开混响抑制时，可明显感知降低了混响，提高了语音清晰度；</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11、支持无线麦接入，在检测到无线麦接入时，优选无线麦扩声；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12、除支持远程音频信号接入外，还支持另外一路外部音频信号接入（如接大屏或老师PC电脑），播放外部音频信号时，不影响本地扩声；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 增益调节范围 :-54dB～10dB；失真（THD+N）: ≤0.1%；信噪比（S/N）: ≥89dB；最大输入电平：4dBu；最大输出电平：10dBu；</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▲14、输入支持8路及以上输入硬件接口，≥2路WLAN口本地麦克风输入，≥2路幻象供电麦克风或者无线麦克风输入，≥2路 外部音源输入，≥2路远端输入（提供国家认证认可监督管理委员会认证的检测机构所出具的检测报告复印件并加盖厂家公章，并提供全国认证认可信息公共服务平台对应检测报告查询记录截图）；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15、输出支持两路及以上输出硬件接口，≥1路本地输出，≥1路远端输出；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支持通过网络或485接口对设备进行软控制；为了方便和其它硬件设备的对接，支持在设备上对支持对无线麦克和幻象供电输入信号接口、远端输入信号接口、输出给远端的接口、输出给喇叭的接口调节模拟音量；</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403849D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6756B2A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 </w:t>
            </w:r>
          </w:p>
        </w:tc>
      </w:tr>
      <w:tr w14:paraId="28CE71CF">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5C27B1F5">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23</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7020E76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线阵麦克风</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20B8D65B">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1、麦克风采用6咪条形阵列设计，波束成形算法，支持180度扇形指向拾音；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2、良好频响特性，音质饱满、还原度高，外观小巧美观，安装灵活方便；</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3、麦克风按声学阵列设计，适用反馈算法设计需求，达到更好的反馈抑制效果；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4、阵列式设计，拾音范围更精准，1-6米的声音均能保持同等的均衡，完全避免不同距离、不同音量的忽大忽小现象；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5、专为教学扩声、互动环境高频响、高声压、低时延的瞬态响应处理应用设计；</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14F6F27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3E612EC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 </w:t>
            </w:r>
          </w:p>
        </w:tc>
      </w:tr>
      <w:tr w14:paraId="74E38D9D">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69A27664">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24</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25D4FB1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全向麦克风</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682924D9">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1、幻象供电麦，全指向拾音，有效保证远距离拾音效果；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2、其灵敏度高，高信噪比，专为教学互动环境高频响、高声压、低时延的瞬态响应处理应用设计；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3、主要用于教学互动、扩声、远距离拾音；录音会议广播演讲等场景。</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0E84A07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个</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24DDA8D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 </w:t>
            </w:r>
          </w:p>
        </w:tc>
      </w:tr>
      <w:tr w14:paraId="08234A70">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6D9285DA">
            <w:pPr>
              <w:widowControl/>
              <w:jc w:val="center"/>
              <w:textAlignment w:val="center"/>
              <w:rPr>
                <w:rFonts w:hint="eastAsia" w:ascii="宋体" w:hAnsi="宋体" w:eastAsia="宋体" w:cs="宋体"/>
                <w:color w:val="000000"/>
                <w:sz w:val="18"/>
                <w:szCs w:val="18"/>
                <w:lang w:eastAsia="zh-CN"/>
              </w:rPr>
            </w:pPr>
            <w:r>
              <w:rPr>
                <w:rFonts w:hint="eastAsia" w:ascii="宋体" w:hAnsi="宋体" w:eastAsia="宋体" w:cs="宋体"/>
                <w:color w:val="000000"/>
                <w:kern w:val="0"/>
                <w:sz w:val="18"/>
                <w:szCs w:val="18"/>
                <w:lang w:val="en-US" w:eastAsia="zh-CN" w:bidi="ar"/>
              </w:rPr>
              <w:t>25</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54C7564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双输出摄像机</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1873FDCB">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1、图像传感器：采用不低于1/1.8" Progressive Scan CMOS；（提供国家认证认可监督管理委员会认证的检测机构所出具的检测报告复印件并加盖厂家公章，并提供全国认证认可信息公共服务平台对应检测报告查询记录截图）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 CMOS最大分辨率支持≥3840×2160；（提供国家认证认可监督管理委员会认证的检测机构所出具的检测报告复印件并加盖厂家公章，并提供全国认证认可信息公共服务平台对应检测报告查询记录截图）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 最低照度≥彩色:0.001 Lux @(F1.2,AGC ON)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 数字增益：-30dB-23、9dB；</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 日夜转换模式支持ICR红外滤片式；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 视频压缩标准支持：H.264/H.265；</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 视频输出分辨率：1080P@30、720P@30；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 压缩输出编码率：128Kbps～30Mbps可调；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 音频压缩编码率：AAC 32K/48；</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 图像设置支持：饱和度，亮度，对比度，锐度，色度通过客户端可调；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 支持抗闪烁、电子防抖、电子快门、背光补偿、长曝光模式等功能；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 ISO模式支持：ISO100、ISO200、ISO400、ISO800、ISO1600、ISO3200；</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13、支持老师跟踪、学生跟踪、电子云台跟踪；（提供国家认证认可监督管理委员会认证的检测机构所出具的检测报告复印件并加盖厂家公章，并提供全国认证认可信息公共服务平台对应检测报告查询记录截图）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 工作温度和湿度：-10℃~60℃,湿度小于90%(无凝结)；</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15、 最大功耗≤6W；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 要求Sensor有效像素是不小于800万；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17、要求相机支持POE一线通，满足数据通信、供电均由一根网线完成；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18、要求摄像机与录播主机为同一品牌；</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416A13F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537C5D1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 </w:t>
            </w:r>
          </w:p>
        </w:tc>
      </w:tr>
      <w:tr w14:paraId="63375C1F">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65A12C4D">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26</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07363E8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双目AI摄像机管理软件</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08020A1A">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 支持摄像机模式设置，分别有室内自然模式、室内暗光模式、室内亮光模式、户外晴天模式、户外阴天模式、户外夜间模式、自动识别模式、自动抗闪烁模式、全自动模式等9种模式设置；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 支持智能局域网搜索摄像机IP功能；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 支持手动调节摄像机亮度、对比度、色度、锐度、饱和度、白平衡等功能；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 支持编码参数快速设置，对码流、码率、关键帧等自由调节；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 调试工具具备电子云台功能，对摄像机放大、缩小、上下左右等操作；</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 支持全景与特写双输出画面预览；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 支持实时显示CPU占用率；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支持查看课堂AI实时分析结果，包括老师行为和学生行为；其中老师行为包括板书时长、演示时长、讲授时长、巡视时长、师生互动次数等内容；学生行为需包括：认真听讲人数、举手人数、交头接耳人数、以及读写状态人数等；所有数据可实时显示，当有数据更新时实时显示更新；可配置学生分析数据和老师行为数据以不同的颜色显示，叠加在教室的实时预览图像上；（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支持教室AI分析图像预览，支持行为数据显示开启或关闭；支持行为动作分析轮廓数据开启或关闭；（提供国家认证认可监督管理委员会认证的检测机构所出具的检测报告复印件并加盖厂家公章，并提供全国认证认可信息公共服务平台对应检测报告查询记录截图）</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70AF576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6F67A57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 </w:t>
            </w:r>
          </w:p>
        </w:tc>
      </w:tr>
      <w:tr w14:paraId="2AD23B8E">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19D42727">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27</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36A3F02F">
            <w:pPr>
              <w:widowControl/>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bdr w:val="single" w:color="000000" w:sz="4" w:space="0"/>
                <w:lang w:bidi="ar"/>
              </w:rPr>
              <w:drawing>
                <wp:anchor distT="0" distB="0" distL="114300" distR="114300" simplePos="0" relativeHeight="251669504" behindDoc="0" locked="0" layoutInCell="1" allowOverlap="1">
                  <wp:simplePos x="0" y="0"/>
                  <wp:positionH relativeFrom="column">
                    <wp:posOffset>85090</wp:posOffset>
                  </wp:positionH>
                  <wp:positionV relativeFrom="paragraph">
                    <wp:posOffset>0</wp:posOffset>
                  </wp:positionV>
                  <wp:extent cx="9525" cy="30480"/>
                  <wp:effectExtent l="0" t="0" r="0" b="0"/>
                  <wp:wrapNone/>
                  <wp:docPr id="27" name="Picture_122_SpCnt_32"/>
                  <wp:cNvGraphicFramePr/>
                  <a:graphic xmlns:a="http://schemas.openxmlformats.org/drawingml/2006/main">
                    <a:graphicData uri="http://schemas.openxmlformats.org/drawingml/2006/picture">
                      <pic:pic xmlns:pic="http://schemas.openxmlformats.org/drawingml/2006/picture">
                        <pic:nvPicPr>
                          <pic:cNvPr id="27" name="Picture_122_SpCnt_32"/>
                          <pic:cNvPicPr/>
                        </pic:nvPicPr>
                        <pic:blipFill>
                          <a:blip r:embed="rId4"/>
                          <a:stretch>
                            <a:fillRect/>
                          </a:stretch>
                        </pic:blipFill>
                        <pic:spPr>
                          <a:xfrm>
                            <a:off x="0" y="0"/>
                            <a:ext cx="9525" cy="30480"/>
                          </a:xfrm>
                          <a:prstGeom prst="rect">
                            <a:avLst/>
                          </a:prstGeom>
                          <a:noFill/>
                          <a:ln>
                            <a:noFill/>
                          </a:ln>
                        </pic:spPr>
                      </pic:pic>
                    </a:graphicData>
                  </a:graphic>
                </wp:anchor>
              </w:drawing>
            </w:r>
          </w:p>
          <w:p w14:paraId="7A8FDDC2">
            <w:pPr>
              <w:widowControl/>
              <w:jc w:val="center"/>
              <w:textAlignment w:val="center"/>
              <w:rPr>
                <w:rFonts w:hint="eastAsia" w:ascii="宋体" w:hAnsi="宋体" w:eastAsia="宋体" w:cs="宋体"/>
                <w:color w:val="000000"/>
                <w:kern w:val="0"/>
                <w:sz w:val="18"/>
                <w:szCs w:val="18"/>
                <w:lang w:bidi="ar"/>
              </w:rPr>
            </w:pPr>
          </w:p>
          <w:p w14:paraId="69269063">
            <w:pPr>
              <w:widowControl/>
              <w:jc w:val="center"/>
              <w:textAlignment w:val="center"/>
              <w:rPr>
                <w:rFonts w:hint="eastAsia" w:ascii="宋体" w:hAnsi="宋体" w:eastAsia="宋体" w:cs="宋体"/>
                <w:color w:val="000000"/>
                <w:kern w:val="0"/>
                <w:sz w:val="18"/>
                <w:szCs w:val="18"/>
                <w:lang w:bidi="ar"/>
              </w:rPr>
            </w:pPr>
          </w:p>
          <w:p w14:paraId="5666EA5A">
            <w:pPr>
              <w:widowControl/>
              <w:jc w:val="center"/>
              <w:textAlignment w:val="center"/>
              <w:rPr>
                <w:rFonts w:hint="eastAsia" w:ascii="宋体" w:hAnsi="宋体" w:eastAsia="宋体" w:cs="宋体"/>
                <w:color w:val="000000"/>
                <w:kern w:val="0"/>
                <w:sz w:val="18"/>
                <w:szCs w:val="18"/>
                <w:lang w:bidi="ar"/>
              </w:rPr>
            </w:pPr>
          </w:p>
          <w:p w14:paraId="417FE72B">
            <w:pPr>
              <w:widowControl/>
              <w:jc w:val="center"/>
              <w:textAlignment w:val="center"/>
              <w:rPr>
                <w:rFonts w:hint="eastAsia" w:ascii="宋体" w:hAnsi="宋体" w:eastAsia="宋体" w:cs="宋体"/>
                <w:color w:val="000000"/>
                <w:kern w:val="0"/>
                <w:sz w:val="18"/>
                <w:szCs w:val="18"/>
                <w:lang w:bidi="ar"/>
              </w:rPr>
            </w:pPr>
          </w:p>
          <w:p w14:paraId="1F56819F">
            <w:pPr>
              <w:widowControl/>
              <w:jc w:val="center"/>
              <w:textAlignment w:val="center"/>
              <w:rPr>
                <w:rFonts w:hint="eastAsia" w:ascii="宋体" w:hAnsi="宋体" w:eastAsia="宋体" w:cs="宋体"/>
                <w:color w:val="000000"/>
                <w:kern w:val="0"/>
                <w:sz w:val="18"/>
                <w:szCs w:val="18"/>
                <w:lang w:bidi="ar"/>
              </w:rPr>
            </w:pPr>
          </w:p>
          <w:p w14:paraId="770D15F1">
            <w:pPr>
              <w:widowControl/>
              <w:jc w:val="center"/>
              <w:textAlignment w:val="center"/>
              <w:rPr>
                <w:rFonts w:hint="eastAsia" w:ascii="宋体" w:hAnsi="宋体" w:eastAsia="宋体" w:cs="宋体"/>
                <w:color w:val="000000"/>
                <w:kern w:val="0"/>
                <w:sz w:val="18"/>
                <w:szCs w:val="18"/>
                <w:lang w:bidi="ar"/>
              </w:rPr>
            </w:pPr>
          </w:p>
          <w:p w14:paraId="37E8BB5E">
            <w:pPr>
              <w:widowControl/>
              <w:jc w:val="center"/>
              <w:textAlignment w:val="center"/>
              <w:rPr>
                <w:rFonts w:hint="eastAsia" w:ascii="宋体" w:hAnsi="宋体" w:eastAsia="宋体" w:cs="宋体"/>
                <w:color w:val="000000"/>
                <w:kern w:val="0"/>
                <w:sz w:val="18"/>
                <w:szCs w:val="18"/>
                <w:lang w:bidi="ar"/>
              </w:rPr>
            </w:pPr>
          </w:p>
          <w:p w14:paraId="4A13E7A4">
            <w:pPr>
              <w:widowControl/>
              <w:jc w:val="center"/>
              <w:textAlignment w:val="center"/>
              <w:rPr>
                <w:rFonts w:hint="eastAsia" w:ascii="宋体" w:hAnsi="宋体" w:eastAsia="宋体" w:cs="宋体"/>
                <w:color w:val="000000"/>
                <w:kern w:val="0"/>
                <w:sz w:val="18"/>
                <w:szCs w:val="18"/>
                <w:lang w:bidi="ar"/>
              </w:rPr>
            </w:pPr>
          </w:p>
          <w:p w14:paraId="2AA898DA">
            <w:pPr>
              <w:widowControl/>
              <w:jc w:val="center"/>
              <w:textAlignment w:val="center"/>
              <w:rPr>
                <w:rFonts w:hint="eastAsia" w:ascii="宋体" w:hAnsi="宋体" w:eastAsia="宋体" w:cs="宋体"/>
                <w:color w:val="000000"/>
                <w:kern w:val="0"/>
                <w:sz w:val="18"/>
                <w:szCs w:val="18"/>
                <w:lang w:bidi="ar"/>
              </w:rPr>
            </w:pPr>
          </w:p>
          <w:p w14:paraId="1F17BCB5">
            <w:pPr>
              <w:widowControl/>
              <w:jc w:val="center"/>
              <w:textAlignment w:val="center"/>
              <w:rPr>
                <w:rFonts w:hint="eastAsia" w:ascii="宋体" w:hAnsi="宋体" w:eastAsia="宋体" w:cs="宋体"/>
                <w:color w:val="000000"/>
                <w:kern w:val="0"/>
                <w:sz w:val="18"/>
                <w:szCs w:val="18"/>
                <w:lang w:bidi="ar"/>
              </w:rPr>
            </w:pPr>
          </w:p>
          <w:p w14:paraId="1DC1B772">
            <w:pPr>
              <w:widowControl/>
              <w:jc w:val="center"/>
              <w:textAlignment w:val="center"/>
              <w:rPr>
                <w:rFonts w:hint="eastAsia" w:ascii="宋体" w:hAnsi="宋体" w:eastAsia="宋体" w:cs="宋体"/>
                <w:color w:val="000000"/>
                <w:kern w:val="0"/>
                <w:sz w:val="18"/>
                <w:szCs w:val="18"/>
                <w:lang w:bidi="ar"/>
              </w:rPr>
            </w:pPr>
          </w:p>
          <w:p w14:paraId="330C075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名相机</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4C584810">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91008" behindDoc="0" locked="0" layoutInCell="1" allowOverlap="1">
                  <wp:simplePos x="0" y="0"/>
                  <wp:positionH relativeFrom="column">
                    <wp:posOffset>0</wp:posOffset>
                  </wp:positionH>
                  <wp:positionV relativeFrom="paragraph">
                    <wp:posOffset>0</wp:posOffset>
                  </wp:positionV>
                  <wp:extent cx="1905" cy="30480"/>
                  <wp:effectExtent l="0" t="0" r="0" b="0"/>
                  <wp:wrapNone/>
                  <wp:docPr id="30" name="图片 50"/>
                  <wp:cNvGraphicFramePr/>
                  <a:graphic xmlns:a="http://schemas.openxmlformats.org/drawingml/2006/main">
                    <a:graphicData uri="http://schemas.openxmlformats.org/drawingml/2006/picture">
                      <pic:pic xmlns:pic="http://schemas.openxmlformats.org/drawingml/2006/picture">
                        <pic:nvPicPr>
                          <pic:cNvPr id="30" name="图片 50"/>
                          <pic:cNvPicPr/>
                        </pic:nvPicPr>
                        <pic:blipFill>
                          <a:blip r:embed="rId4"/>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lang w:val="en-US" w:eastAsia="zh-CN" w:bidi="ar"/>
              </w:rPr>
              <w:t>1、内置4核心AI主芯片，支持AI智能、深度学习算法，有效提升检测准确率；（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内置双感光器件，其中一路有效像素不低于850万（定焦镜头），一路不低于200万有效像素（云台变焦镜头）；其中定焦镜头sensor尺寸不小于1/1.8英寸，支持BSI技术、支持HDR宽动态，镜头水平可视角度不小于110度，支持输出不少于两路1080P图像，分别为学生全景和特写；（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云台变焦镜头的sensor尺寸不低于1/2.8英寸、10倍光学变焦镜头，支持云台转动水平0°~180°、垂直0°~+80°旋转；支持不少于256个预置位；水平可视角度：55.2°~5.6°；（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4、快门速度：定焦1/25~1/10000秒,云台变焦：1/5~1/50000秒；</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5、光圈：定焦不小于1/1.8，云台变焦不小于1/2.8,；</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6、支持POE，无需额外供电；</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7D2D634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6639A93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 </w:t>
            </w:r>
          </w:p>
        </w:tc>
      </w:tr>
      <w:tr w14:paraId="30DE9B89">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1DB89285">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28</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7EF0D0B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点名相机配套管理软件</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585B594E">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 支持摄像机模式设置，分别有室内自然模式、室内暗光模式、室内亮光模式、户外晴天模式、户外阴天模式、户外夜间模式、自动识别模式、自动抗闪烁模式、全自动模式等9种模式设置；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 支持智能局域网搜索摄像机IP功能；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 支持手动调节摄像机亮度、对比度、色度、锐度、饱和度、白平衡等功能；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 支持编码参数快速设置，对码流、码率、关键帧等自由调节；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 调试工具具备电子云台功能；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 支持人员起立检测，联动定位，支持全景与特写双输出画面预览；</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 支持实时显示CPU占用率；</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AI应用：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1、支持客户端进行设备配置如连接录播设备等；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支持查看课堂AI实时分析结果，包括老师行为和学生行为；其中老师行为包括板书时长、演示时长、讲授时长、巡视时长、师生互动次数等内容；学生行为需包括：认真听讲人数、举手人数、交头接耳人数、以及读写状态人数等；所有数据可实时显示，当有数据更新时实时显示更新；可配置学生分析数据和老师行为数据以不同的颜色显示，叠加在教室的实时预览图像上；（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3、支持教室AI分析图像预览，支持行为数据显示开启或关闭；支持行为动作分析轮廓数据开启或关闭；</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支持云台变焦摄像头云台控制上下左右，变焦等；支持不少于30个预置位设置保存，满足覆盖整个教室区域；（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支持云台变焦摄像头巡查设置，可设置巡查开始位置和结束位置，实现更精准的考勤数据；（提供国家认证认可监督管理委员会认证的检测机构所出具的检测报告复印件并加盖厂家公章，并提供全国认证认可信息公共服务平台对应检测报告查询记录截图）</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7、人脸识别：支持人脸增强，人脸曝光优化，支持人脸属性提取，支持与云资源管理平台对接，实现人脸考勤；</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8、网路协议支持：HTTP;HTTPS;IPv4;RTSP;UDP;SMTP;NTP;DHCP；</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10、音视频编码协议：H.264\H.265，音频AAC编码。</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25BE2A7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7682FA4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 </w:t>
            </w:r>
          </w:p>
        </w:tc>
      </w:tr>
      <w:tr w14:paraId="4530E2EB">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7BBDC4C4">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29</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0185D45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bdr w:val="single" w:color="000000" w:sz="4" w:space="0"/>
                <w:lang w:bidi="ar"/>
              </w:rPr>
              <w:drawing>
                <wp:anchor distT="0" distB="0" distL="114300" distR="114300" simplePos="0" relativeHeight="251670528" behindDoc="0" locked="0" layoutInCell="1" allowOverlap="1">
                  <wp:simplePos x="0" y="0"/>
                  <wp:positionH relativeFrom="column">
                    <wp:posOffset>85090</wp:posOffset>
                  </wp:positionH>
                  <wp:positionV relativeFrom="paragraph">
                    <wp:posOffset>0</wp:posOffset>
                  </wp:positionV>
                  <wp:extent cx="9525" cy="30480"/>
                  <wp:effectExtent l="0" t="0" r="0" b="0"/>
                  <wp:wrapNone/>
                  <wp:docPr id="31" name="Picture_122_SpCnt_35"/>
                  <wp:cNvGraphicFramePr/>
                  <a:graphic xmlns:a="http://schemas.openxmlformats.org/drawingml/2006/main">
                    <a:graphicData uri="http://schemas.openxmlformats.org/drawingml/2006/picture">
                      <pic:pic xmlns:pic="http://schemas.openxmlformats.org/drawingml/2006/picture">
                        <pic:nvPicPr>
                          <pic:cNvPr id="31" name="Picture_122_SpCnt_35"/>
                          <pic:cNvPicPr/>
                        </pic:nvPicPr>
                        <pic:blipFill>
                          <a:blip r:embed="rId4"/>
                          <a:stretch>
                            <a:fillRect/>
                          </a:stretch>
                        </pic:blipFill>
                        <pic:spPr>
                          <a:xfrm>
                            <a:off x="0" y="0"/>
                            <a:ext cx="9525" cy="30480"/>
                          </a:xfrm>
                          <a:prstGeom prst="rect">
                            <a:avLst/>
                          </a:prstGeom>
                          <a:noFill/>
                          <a:ln>
                            <a:noFill/>
                          </a:ln>
                        </pic:spPr>
                      </pic:pic>
                    </a:graphicData>
                  </a:graphic>
                </wp:anchor>
              </w:drawing>
            </w:r>
            <w:r>
              <w:rPr>
                <w:rFonts w:hint="eastAsia" w:ascii="宋体" w:hAnsi="宋体" w:eastAsia="宋体" w:cs="宋体"/>
                <w:color w:val="000000"/>
                <w:kern w:val="0"/>
                <w:sz w:val="18"/>
                <w:szCs w:val="18"/>
                <w:lang w:bidi="ar"/>
              </w:rPr>
              <w:t>录播控制面板</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6A53B5B5">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92032" behindDoc="0" locked="0" layoutInCell="1" allowOverlap="1">
                  <wp:simplePos x="0" y="0"/>
                  <wp:positionH relativeFrom="column">
                    <wp:posOffset>0</wp:posOffset>
                  </wp:positionH>
                  <wp:positionV relativeFrom="paragraph">
                    <wp:posOffset>0</wp:posOffset>
                  </wp:positionV>
                  <wp:extent cx="1905" cy="30480"/>
                  <wp:effectExtent l="0" t="0" r="0" b="0"/>
                  <wp:wrapNone/>
                  <wp:docPr id="32" name="Picture_122_SpCnt_17"/>
                  <wp:cNvGraphicFramePr/>
                  <a:graphic xmlns:a="http://schemas.openxmlformats.org/drawingml/2006/main">
                    <a:graphicData uri="http://schemas.openxmlformats.org/drawingml/2006/picture">
                      <pic:pic xmlns:pic="http://schemas.openxmlformats.org/drawingml/2006/picture">
                        <pic:nvPicPr>
                          <pic:cNvPr id="32" name="Picture_122_SpCnt_17"/>
                          <pic:cNvPicPr/>
                        </pic:nvPicPr>
                        <pic:blipFill>
                          <a:blip r:embed="rId4"/>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lang w:val="en-US" w:eastAsia="zh-CN" w:bidi="ar"/>
              </w:rPr>
              <w:t>1、 面板尺寸≥4.3寸；</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 分辨率≥480*272；</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 背光类别：LED；</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 背光亮度：≥300nit，支持64级亮度可调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 支持RS485和RS232两种控制接口；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 支持对录播设备的录制、暂停、停止、VGA锁定、开关机、视频打点等操作。</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6BB18FF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087966B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 </w:t>
            </w:r>
          </w:p>
        </w:tc>
      </w:tr>
      <w:tr w14:paraId="318F985B">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2D309BE5">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30</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032322C1">
            <w:pPr>
              <w:widowControl/>
              <w:jc w:val="center"/>
              <w:textAlignment w:val="center"/>
              <w:rPr>
                <w:rFonts w:hint="eastAsia" w:ascii="宋体" w:hAnsi="宋体" w:eastAsia="宋体" w:cs="宋体"/>
                <w:color w:val="000000"/>
                <w:kern w:val="0"/>
                <w:sz w:val="18"/>
                <w:szCs w:val="18"/>
                <w:lang w:bidi="ar"/>
              </w:rPr>
            </w:pPr>
          </w:p>
          <w:p w14:paraId="0A7B1732">
            <w:pPr>
              <w:widowControl/>
              <w:jc w:val="center"/>
              <w:textAlignment w:val="center"/>
              <w:rPr>
                <w:rFonts w:hint="eastAsia" w:ascii="宋体" w:hAnsi="宋体" w:eastAsia="宋体" w:cs="宋体"/>
                <w:color w:val="000000"/>
                <w:kern w:val="0"/>
                <w:sz w:val="18"/>
                <w:szCs w:val="18"/>
                <w:lang w:bidi="ar"/>
              </w:rPr>
            </w:pPr>
          </w:p>
          <w:p w14:paraId="6AE664E2">
            <w:pPr>
              <w:widowControl/>
              <w:jc w:val="center"/>
              <w:textAlignment w:val="center"/>
              <w:rPr>
                <w:rFonts w:hint="eastAsia" w:ascii="宋体" w:hAnsi="宋体" w:eastAsia="宋体" w:cs="宋体"/>
                <w:color w:val="000000"/>
                <w:kern w:val="0"/>
                <w:sz w:val="18"/>
                <w:szCs w:val="18"/>
                <w:lang w:bidi="ar"/>
              </w:rPr>
            </w:pPr>
          </w:p>
          <w:p w14:paraId="166A6862">
            <w:pPr>
              <w:widowControl/>
              <w:jc w:val="center"/>
              <w:textAlignment w:val="center"/>
              <w:rPr>
                <w:rFonts w:hint="eastAsia" w:ascii="宋体" w:hAnsi="宋体" w:eastAsia="宋体" w:cs="宋体"/>
                <w:color w:val="000000"/>
                <w:kern w:val="0"/>
                <w:sz w:val="18"/>
                <w:szCs w:val="18"/>
                <w:lang w:bidi="ar"/>
              </w:rPr>
            </w:pPr>
          </w:p>
          <w:p w14:paraId="4977FC02">
            <w:pPr>
              <w:widowControl/>
              <w:jc w:val="center"/>
              <w:textAlignment w:val="center"/>
              <w:rPr>
                <w:rFonts w:hint="eastAsia" w:ascii="宋体" w:hAnsi="宋体" w:eastAsia="宋体" w:cs="宋体"/>
                <w:color w:val="000000"/>
                <w:kern w:val="0"/>
                <w:sz w:val="18"/>
                <w:szCs w:val="18"/>
                <w:lang w:bidi="ar"/>
              </w:rPr>
            </w:pPr>
          </w:p>
          <w:p w14:paraId="0CC47BBD">
            <w:pPr>
              <w:widowControl/>
              <w:jc w:val="center"/>
              <w:textAlignment w:val="center"/>
              <w:rPr>
                <w:rFonts w:hint="eastAsia" w:ascii="宋体" w:hAnsi="宋体" w:eastAsia="宋体" w:cs="宋体"/>
                <w:color w:val="000000"/>
                <w:kern w:val="0"/>
                <w:sz w:val="18"/>
                <w:szCs w:val="18"/>
                <w:lang w:bidi="ar"/>
              </w:rPr>
            </w:pPr>
          </w:p>
          <w:p w14:paraId="30CB1A8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bdr w:val="single" w:color="000000" w:sz="4" w:space="0"/>
                <w:lang w:bidi="ar"/>
              </w:rPr>
              <w:drawing>
                <wp:anchor distT="0" distB="0" distL="114300" distR="114300" simplePos="0" relativeHeight="251671552" behindDoc="0" locked="0" layoutInCell="1" allowOverlap="1">
                  <wp:simplePos x="0" y="0"/>
                  <wp:positionH relativeFrom="column">
                    <wp:posOffset>85090</wp:posOffset>
                  </wp:positionH>
                  <wp:positionV relativeFrom="paragraph">
                    <wp:posOffset>0</wp:posOffset>
                  </wp:positionV>
                  <wp:extent cx="9525" cy="30480"/>
                  <wp:effectExtent l="0" t="0" r="0" b="0"/>
                  <wp:wrapNone/>
                  <wp:docPr id="34" name="Picture_122_SpCnt_38"/>
                  <wp:cNvGraphicFramePr/>
                  <a:graphic xmlns:a="http://schemas.openxmlformats.org/drawingml/2006/main">
                    <a:graphicData uri="http://schemas.openxmlformats.org/drawingml/2006/picture">
                      <pic:pic xmlns:pic="http://schemas.openxmlformats.org/drawingml/2006/picture">
                        <pic:nvPicPr>
                          <pic:cNvPr id="34" name="Picture_122_SpCnt_38"/>
                          <pic:cNvPicPr/>
                        </pic:nvPicPr>
                        <pic:blipFill>
                          <a:blip r:embed="rId4"/>
                          <a:stretch>
                            <a:fillRect/>
                          </a:stretch>
                        </pic:blipFill>
                        <pic:spPr>
                          <a:xfrm>
                            <a:off x="0" y="0"/>
                            <a:ext cx="9525" cy="30480"/>
                          </a:xfrm>
                          <a:prstGeom prst="rect">
                            <a:avLst/>
                          </a:prstGeom>
                          <a:noFill/>
                          <a:ln>
                            <a:noFill/>
                          </a:ln>
                        </pic:spPr>
                      </pic:pic>
                    </a:graphicData>
                  </a:graphic>
                </wp:anchor>
              </w:drawing>
            </w:r>
            <w:r>
              <w:rPr>
                <w:rFonts w:hint="eastAsia" w:ascii="宋体" w:hAnsi="宋体" w:eastAsia="宋体" w:cs="宋体"/>
                <w:color w:val="000000"/>
                <w:kern w:val="0"/>
                <w:sz w:val="18"/>
                <w:szCs w:val="18"/>
                <w:lang w:bidi="ar"/>
              </w:rPr>
              <w:t>音箱</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2C06FE61">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1、额定功率：50W。</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2、额定阻抗：4Ω。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3、频率响应：55Hz-18kHz。</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4、驱动器：1个6.5寸长冲程低音驱动器、1个前纸盆高音。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5、信噪比：95dB；</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6、最大声压级：103dB；</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7、箱体型式：倒相式；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8、箱体及外饰：高密度中纤板（黑色）箱体；喇叭具有金属防护罩。</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9、安装：标配壁挂架；</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10、尺寸（L×W×H）： 220×200×350（单位：mm）。</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11、净重：7kg/对；                                                                                 </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66CE629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对</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1D10925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 </w:t>
            </w:r>
          </w:p>
        </w:tc>
      </w:tr>
      <w:tr w14:paraId="78643DE3">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6D493B32">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31</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78D8E60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功放</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02C53E5A">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93056" behindDoc="0" locked="0" layoutInCell="1" allowOverlap="1">
                  <wp:simplePos x="0" y="0"/>
                  <wp:positionH relativeFrom="column">
                    <wp:posOffset>0</wp:posOffset>
                  </wp:positionH>
                  <wp:positionV relativeFrom="paragraph">
                    <wp:posOffset>0</wp:posOffset>
                  </wp:positionV>
                  <wp:extent cx="1905" cy="30480"/>
                  <wp:effectExtent l="0" t="0" r="0" b="0"/>
                  <wp:wrapNone/>
                  <wp:docPr id="41" name="图片 54"/>
                  <wp:cNvGraphicFramePr/>
                  <a:graphic xmlns:a="http://schemas.openxmlformats.org/drawingml/2006/main">
                    <a:graphicData uri="http://schemas.openxmlformats.org/drawingml/2006/picture">
                      <pic:pic xmlns:pic="http://schemas.openxmlformats.org/drawingml/2006/picture">
                        <pic:nvPicPr>
                          <pic:cNvPr id="41" name="图片 54"/>
                          <pic:cNvPicPr/>
                        </pic:nvPicPr>
                        <pic:blipFill>
                          <a:blip r:embed="rId4"/>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lang w:val="en-US" w:eastAsia="zh-CN" w:bidi="ar"/>
              </w:rPr>
              <w:t>1､三路话筒插口（2路带48伏幻像电源）；</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2､3路音源输入（2组线路信号输入接口、1组录播输入接口），2路音源输出（1组全信号输出接口、1路录播输出接口）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3､具有6个隐藏式旋钮设计，有效避免产生误操作（话筒音量调节、高低音独立调节及混响调节）</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4、音乐主音量控制旋钮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5、具有U盘插口，可播放mp3,wma等主流格式的音乐文件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6、带蓝牙播放功能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7､带数码显示屏,显示各曲目的播放进度及各模式的名称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8､具有模式选择按键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9､具有循环选择按键,可选择单曲循环或全部循环（长按该按键播放录音文件,从后往前循环播放,该模式下,再次长按删除当前录音文件,短按退出并回到原来状态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10､具有上一曲按键、下一曲按键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11､具提示音按键,按动一下即播放提示音一次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12､具有音乐均衡按键，按动该按键,可以选择不同风格的音乐模式</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13､具有话筒录音按键（短按话筒优先,长按该按键开始录音,录音模式下短按该按键退出录音）</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14､具有播放暂停按键</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15､具有2.4G无线麦克风接收模块接口；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16､具有2.4G无线麦克风接收指示灯；</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技术参数：</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1､额定功率：2×60W/8Ω；</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2､频率响应： 20Hz-20KHz -1dB；</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3､谐波失真： ≤0.1%（1V.1KHZ）；</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4､信噪比：≥90dB(A计权)；</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5､机身尺寸：48×190×480 （单位：mm）；</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374766E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61A6977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 </w:t>
            </w:r>
          </w:p>
        </w:tc>
      </w:tr>
      <w:tr w14:paraId="624DF175">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3FEFF318">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32</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6017E4A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音响支架</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45A6DCB2">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定制 音响支架</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7144D2D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对</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18C056C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 </w:t>
            </w:r>
          </w:p>
        </w:tc>
      </w:tr>
      <w:tr w14:paraId="118A4C6C">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0350FAD0">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33</w:t>
            </w:r>
          </w:p>
        </w:tc>
        <w:tc>
          <w:tcPr>
            <w:tcW w:w="1304" w:type="dxa"/>
            <w:tcBorders>
              <w:top w:val="single" w:color="000000" w:sz="4" w:space="0"/>
              <w:left w:val="single" w:color="000000" w:sz="4" w:space="0"/>
              <w:bottom w:val="single" w:color="000000" w:sz="4" w:space="0"/>
              <w:right w:val="single" w:color="000000" w:sz="4" w:space="0"/>
            </w:tcBorders>
            <w:noWrap/>
            <w:vAlign w:val="center"/>
          </w:tcPr>
          <w:p w14:paraId="23A872A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摄像机吊架</w:t>
            </w:r>
          </w:p>
        </w:tc>
        <w:tc>
          <w:tcPr>
            <w:tcW w:w="5207" w:type="dxa"/>
            <w:tcBorders>
              <w:top w:val="single" w:color="000000" w:sz="4" w:space="0"/>
              <w:left w:val="single" w:color="000000" w:sz="4" w:space="0"/>
              <w:bottom w:val="single" w:color="000000" w:sz="4" w:space="0"/>
              <w:right w:val="single" w:color="000000" w:sz="4" w:space="0"/>
            </w:tcBorders>
            <w:noWrap/>
            <w:vAlign w:val="center"/>
          </w:tcPr>
          <w:p w14:paraId="1F2489E2">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定制摄像机吊架</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7255A9A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对</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25C1682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 xml:space="preserve">1 </w:t>
            </w:r>
          </w:p>
        </w:tc>
      </w:tr>
      <w:tr w14:paraId="7A599AF0">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60556EBD">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34</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5FD5E95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铸铁焊接台</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310DC6BC">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高强HT200-300铸铁台面，尺寸：800*600，含支架安装等辅材</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4066458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574A5DE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r>
      <w:tr w14:paraId="47F006E8">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58651BAD">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35</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36E1B11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桌椅</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7207E7F6">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 xml:space="preserve">800*500*750。       基材：采用E1级环保型中密度纤维板，含水率≤8%，板材密度≥700g/cm³，吸水厚度膨胀率≤12.0%，静曲强度≥24.0MPa，弹性模量≥2300MPa，甲醛释放量（气候箱法）≤0.124mg/m³，总挥发性有机化合物≤0.50mg/m².h，经高温防潮、防腐、防虫处理                                    </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27BD31F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2E4252D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w:t>
            </w:r>
          </w:p>
        </w:tc>
      </w:tr>
      <w:tr w14:paraId="4445612D">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6CDE29E7">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36</w:t>
            </w:r>
          </w:p>
        </w:tc>
        <w:tc>
          <w:tcPr>
            <w:tcW w:w="1304" w:type="dxa"/>
            <w:tcBorders>
              <w:top w:val="single" w:color="000000" w:sz="4" w:space="0"/>
              <w:left w:val="single" w:color="000000" w:sz="4" w:space="0"/>
              <w:bottom w:val="single" w:color="000000" w:sz="4" w:space="0"/>
              <w:right w:val="single" w:color="000000" w:sz="4" w:space="0"/>
            </w:tcBorders>
            <w:noWrap/>
            <w:vAlign w:val="center"/>
          </w:tcPr>
          <w:p w14:paraId="19CE537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教学终端</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63B98AAA">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1.机型：商用台式机CPU：≥Intel Core i5-12500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▲2.主板：≥Intel Q670及以上芯片组；</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3.内存：≥16G DDR5 5600MHz 内存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4.显卡：独显2G显卡；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5.声卡：集成声卡，配置5.1声道(提供前2后3共5个音频接口，其中前置包含1个2合1接口)；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6.硬盘：≥512GB 固态硬盘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7.网卡：集成10/100/1000M以太网卡；</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8.光驱：无；</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9.扩展槽：3个以上PCIE槽位 （其中2个PCI-E x4和1个PCI槽）</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10.键盘、鼠标：原厂防水键盘、抗菌鼠标；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11.接口：≥9个USB接口(其中至少2个USB 3.2G2接口、2个USB 3.2G1接口、1个USB3.2G1 type C接口 )、≥2个视频输出接口</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12.电源：≥180W 90%电源转化效率 （提供80PLUS相关检测报告）</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13.操作系统：预装Windows 正版操作系统（原厂出厂预装）；</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▲14.安全特性：BIOS底层支持USB智能屏蔽技术，仅识别USB键盘、鼠标，无法识别USB读取设备，有效防止数据泄露（须提供功能性截屏）；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 xml:space="preserve">15.机箱：标准塔式机箱≥13L，顶置提手； </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▲16.风扇：光触媒风扇，净化甲醛(需提供第三方检测机构报告并加盖制造商公章，且可在全国认证认可信息公共服务平台查询)；</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17.显示器：≥23.8英寸IPS液晶低蓝光显示器；</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▲18.售后服务:投标时提供生产厂家加盖公章的供货产品技术参数确认函及售后服务承诺函【须满足主机核心部件3年原厂维保上门免费保修服务(核心部件包含CPU、主板、内存、硬盘驱动器(含固态硬盘)等】；</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578D2EE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0C902AC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5</w:t>
            </w:r>
          </w:p>
        </w:tc>
      </w:tr>
      <w:tr w14:paraId="39237967">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22606DE7">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37</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3942B28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储物柜</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3B65DBF9">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1.EO级18cm实木多层板定制储物柜及展示柜，含门板抽屉拉手等五金配件</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5FD0BE63">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6A4DE37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38</w:t>
            </w:r>
          </w:p>
        </w:tc>
      </w:tr>
      <w:tr w14:paraId="720F6663">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1DDAA051">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38</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6A89E81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强电线路改造</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3EFF0535">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国标阻燃线BVR2.5.4平方及6平方电源线*3含阻燃线管，含人工</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7D3FFB3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M</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057480B1">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120</w:t>
            </w:r>
          </w:p>
        </w:tc>
      </w:tr>
      <w:tr w14:paraId="35D97AB8">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24770B69">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39</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23F22D8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空调</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4D6A837C">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3P立式空调，一级能效冷暖变频空调，含辅材安装搬运等</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4A5EED3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台</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555EB67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w:t>
            </w:r>
          </w:p>
        </w:tc>
      </w:tr>
      <w:tr w14:paraId="2398CB32">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0A98772A">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40</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057A631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灯具</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4DBEBED9">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1.600*600配套灯具</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4146281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1531A76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20</w:t>
            </w:r>
          </w:p>
        </w:tc>
      </w:tr>
      <w:tr w14:paraId="364A5B75">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20B31467">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41</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395A987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窗帘盒</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2190147F">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1.12mm阻燃板基层，欧松板打底</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6BB01B5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M</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33D8B52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r>
      <w:tr w14:paraId="3ED40734">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5E582559">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42</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3B5DFCB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窗帘</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1188AD3C">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无纺布窗帘</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36113D0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M</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079B39C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30</w:t>
            </w:r>
          </w:p>
        </w:tc>
      </w:tr>
      <w:tr w14:paraId="53995916">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564A37DD">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43</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371AB98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实训室文化建设</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5C9D0C97">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实训室文化建设</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43EA7BE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套</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265F44A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r>
      <w:tr w14:paraId="26584762">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480F595C">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44</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001BF6F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bdr w:val="single" w:color="000000" w:sz="4" w:space="0"/>
                <w:lang w:bidi="ar"/>
              </w:rPr>
              <w:drawing>
                <wp:anchor distT="0" distB="0" distL="114300" distR="114300" simplePos="0" relativeHeight="251672576" behindDoc="0" locked="0" layoutInCell="1" allowOverlap="1">
                  <wp:simplePos x="0" y="0"/>
                  <wp:positionH relativeFrom="column">
                    <wp:posOffset>85090</wp:posOffset>
                  </wp:positionH>
                  <wp:positionV relativeFrom="paragraph">
                    <wp:posOffset>0</wp:posOffset>
                  </wp:positionV>
                  <wp:extent cx="9525" cy="30480"/>
                  <wp:effectExtent l="0" t="0" r="0" b="0"/>
                  <wp:wrapNone/>
                  <wp:docPr id="54" name="Picture_122_SpCnt_41"/>
                  <wp:cNvGraphicFramePr/>
                  <a:graphic xmlns:a="http://schemas.openxmlformats.org/drawingml/2006/main">
                    <a:graphicData uri="http://schemas.openxmlformats.org/drawingml/2006/picture">
                      <pic:pic xmlns:pic="http://schemas.openxmlformats.org/drawingml/2006/picture">
                        <pic:nvPicPr>
                          <pic:cNvPr id="54" name="Picture_122_SpCnt_41"/>
                          <pic:cNvPicPr/>
                        </pic:nvPicPr>
                        <pic:blipFill>
                          <a:blip r:embed="rId4"/>
                          <a:stretch>
                            <a:fillRect/>
                          </a:stretch>
                        </pic:blipFill>
                        <pic:spPr>
                          <a:xfrm>
                            <a:off x="0" y="0"/>
                            <a:ext cx="9525" cy="30480"/>
                          </a:xfrm>
                          <a:prstGeom prst="rect">
                            <a:avLst/>
                          </a:prstGeom>
                          <a:noFill/>
                          <a:ln>
                            <a:noFill/>
                          </a:ln>
                        </pic:spPr>
                      </pic:pic>
                    </a:graphicData>
                  </a:graphic>
                </wp:anchor>
              </w:drawing>
            </w:r>
            <w:r>
              <w:rPr>
                <w:rFonts w:hint="eastAsia" w:ascii="宋体" w:hAnsi="宋体" w:eastAsia="宋体" w:cs="宋体"/>
                <w:color w:val="000000"/>
                <w:kern w:val="0"/>
                <w:sz w:val="18"/>
                <w:szCs w:val="18"/>
                <w:bdr w:val="single" w:color="000000" w:sz="4" w:space="0"/>
                <w:lang w:bidi="ar"/>
              </w:rPr>
              <w:drawing>
                <wp:anchor distT="0" distB="0" distL="114300" distR="114300" simplePos="0" relativeHeight="251673600" behindDoc="0" locked="0" layoutInCell="1" allowOverlap="1">
                  <wp:simplePos x="0" y="0"/>
                  <wp:positionH relativeFrom="column">
                    <wp:posOffset>85090</wp:posOffset>
                  </wp:positionH>
                  <wp:positionV relativeFrom="paragraph">
                    <wp:posOffset>0</wp:posOffset>
                  </wp:positionV>
                  <wp:extent cx="9525" cy="31115"/>
                  <wp:effectExtent l="0" t="0" r="0" b="0"/>
                  <wp:wrapNone/>
                  <wp:docPr id="56" name="Picture_122_SpCnt_42"/>
                  <wp:cNvGraphicFramePr/>
                  <a:graphic xmlns:a="http://schemas.openxmlformats.org/drawingml/2006/main">
                    <a:graphicData uri="http://schemas.openxmlformats.org/drawingml/2006/picture">
                      <pic:pic xmlns:pic="http://schemas.openxmlformats.org/drawingml/2006/picture">
                        <pic:nvPicPr>
                          <pic:cNvPr id="56" name="Picture_122_SpCnt_42"/>
                          <pic:cNvPicPr/>
                        </pic:nvPicPr>
                        <pic:blipFill>
                          <a:blip r:embed="rId4"/>
                          <a:stretch>
                            <a:fillRect/>
                          </a:stretch>
                        </pic:blipFill>
                        <pic:spPr>
                          <a:xfrm>
                            <a:off x="0" y="0"/>
                            <a:ext cx="9525" cy="31115"/>
                          </a:xfrm>
                          <a:prstGeom prst="rect">
                            <a:avLst/>
                          </a:prstGeom>
                          <a:noFill/>
                          <a:ln>
                            <a:noFill/>
                          </a:ln>
                        </pic:spPr>
                      </pic:pic>
                    </a:graphicData>
                  </a:graphic>
                </wp:anchor>
              </w:drawing>
            </w:r>
            <w:r>
              <w:rPr>
                <w:rFonts w:hint="eastAsia" w:ascii="宋体" w:hAnsi="宋体" w:eastAsia="宋体" w:cs="宋体"/>
                <w:color w:val="000000"/>
                <w:kern w:val="0"/>
                <w:sz w:val="18"/>
                <w:szCs w:val="18"/>
                <w:lang w:bidi="ar"/>
              </w:rPr>
              <w:t>微孔隔音铝单板吊顶</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2741879E">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bdr w:val="single" w:color="000000" w:sz="4" w:space="0"/>
                <w:lang w:val="en-US" w:eastAsia="zh-CN" w:bidi="ar"/>
              </w:rPr>
              <w:drawing>
                <wp:anchor distT="0" distB="0" distL="114300" distR="114300" simplePos="0" relativeHeight="251694080" behindDoc="0" locked="0" layoutInCell="1" allowOverlap="1">
                  <wp:simplePos x="0" y="0"/>
                  <wp:positionH relativeFrom="column">
                    <wp:posOffset>0</wp:posOffset>
                  </wp:positionH>
                  <wp:positionV relativeFrom="paragraph">
                    <wp:posOffset>0</wp:posOffset>
                  </wp:positionV>
                  <wp:extent cx="1905" cy="30480"/>
                  <wp:effectExtent l="0" t="0" r="0" b="0"/>
                  <wp:wrapNone/>
                  <wp:docPr id="55" name="图片 57"/>
                  <wp:cNvGraphicFramePr/>
                  <a:graphic xmlns:a="http://schemas.openxmlformats.org/drawingml/2006/main">
                    <a:graphicData uri="http://schemas.openxmlformats.org/drawingml/2006/picture">
                      <pic:pic xmlns:pic="http://schemas.openxmlformats.org/drawingml/2006/picture">
                        <pic:nvPicPr>
                          <pic:cNvPr id="55" name="图片 57"/>
                          <pic:cNvPicPr/>
                        </pic:nvPicPr>
                        <pic:blipFill>
                          <a:blip r:embed="rId4"/>
                          <a:stretch>
                            <a:fillRect/>
                          </a:stretch>
                        </pic:blipFill>
                        <pic:spPr>
                          <a:xfrm>
                            <a:off x="0" y="0"/>
                            <a:ext cx="1905" cy="30480"/>
                          </a:xfrm>
                          <a:prstGeom prst="rect">
                            <a:avLst/>
                          </a:prstGeom>
                          <a:noFill/>
                          <a:ln>
                            <a:noFill/>
                          </a:ln>
                        </pic:spPr>
                      </pic:pic>
                    </a:graphicData>
                  </a:graphic>
                </wp:anchor>
              </w:drawing>
            </w:r>
            <w:r>
              <w:rPr>
                <w:rFonts w:hint="eastAsia" w:ascii="宋体" w:hAnsi="宋体" w:eastAsia="宋体" w:cs="宋体"/>
                <w:i w:val="0"/>
                <w:iCs w:val="0"/>
                <w:color w:val="000000"/>
                <w:kern w:val="0"/>
                <w:sz w:val="18"/>
                <w:szCs w:val="18"/>
                <w:u w:val="none"/>
                <w:lang w:val="en-US" w:eastAsia="zh-CN" w:bidi="ar"/>
              </w:rPr>
              <w:t>1.600*600微孔铝扣板吊顶，含吊丝龙骨等，纯铝基材，防火防潮隔音</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7D7EC3D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5FCB9FC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127</w:t>
            </w:r>
          </w:p>
        </w:tc>
      </w:tr>
      <w:tr w14:paraId="12343D88">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370EEF79">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45</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7DC1820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地面瓷砖铺贴</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6297235F">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1.地面800*800通体大理石瓷砖铺贴，含水泥砂浆等辅材</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6A215F6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540E0CE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127</w:t>
            </w:r>
          </w:p>
        </w:tc>
      </w:tr>
      <w:tr w14:paraId="5982E05D">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33109507">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46</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04C5C8D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原地面瓷砖拆除</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4D9A3D24">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1.原室内地板拆除</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403ADC89">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6E979DF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127</w:t>
            </w:r>
          </w:p>
        </w:tc>
      </w:tr>
      <w:tr w14:paraId="3358DA12">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0A0830CF">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47</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4A54FD8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暗埋踢脚线</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01A4376A">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1.大理石瓷砖踢脚线</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250A38F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M</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2BA9C97F">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49</w:t>
            </w:r>
          </w:p>
        </w:tc>
      </w:tr>
      <w:tr w14:paraId="294387DF">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1E0112FA">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48</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41857CF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墙面防水防潮</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7720D863">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 xml:space="preserve"> 1、人工  2、防水</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4E77391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15CBC6B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137</w:t>
            </w:r>
          </w:p>
        </w:tc>
      </w:tr>
      <w:tr w14:paraId="657974EA">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2C577DAF">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49</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60E5DB7D">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墙体原涂料铲除</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2AADB4CD">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 xml:space="preserve"> 1、人工</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2350EFA7">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54C1E66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137</w:t>
            </w:r>
          </w:p>
        </w:tc>
      </w:tr>
      <w:tr w14:paraId="308C6D79">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1C4BD1DE">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50</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1186237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墙面刮腻子、刷乳胶漆</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7075ED92">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1.人工。2、腻子及无醛乳胶漆</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146A45A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4CB1FFF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137</w:t>
            </w:r>
          </w:p>
        </w:tc>
      </w:tr>
      <w:tr w14:paraId="3F70024E">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44A829F3">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51</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1AEDE30B">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户内防白蚁处理</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628572A2">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户内防白蚁处理</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452A2AD5">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7DD404A6">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127</w:t>
            </w:r>
          </w:p>
        </w:tc>
      </w:tr>
      <w:tr w14:paraId="672A59F6">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769B430A">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52</w:t>
            </w:r>
          </w:p>
        </w:tc>
        <w:tc>
          <w:tcPr>
            <w:tcW w:w="1304" w:type="dxa"/>
            <w:tcBorders>
              <w:top w:val="single" w:color="000000" w:sz="4" w:space="0"/>
              <w:left w:val="single" w:color="000000" w:sz="4" w:space="0"/>
              <w:bottom w:val="single" w:color="000000" w:sz="4" w:space="0"/>
              <w:right w:val="single" w:color="000000" w:sz="4" w:space="0"/>
            </w:tcBorders>
            <w:noWrap/>
            <w:vAlign w:val="center"/>
          </w:tcPr>
          <w:p w14:paraId="22E4BCD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物品搬运费</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4199FB6C">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原教室内物品搬运至指定储物间</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5FF026AE">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4D3727C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r>
      <w:tr w14:paraId="75552D1F">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3AFCE6F4">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53</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1948D3E0">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材料搬运费</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0C54EAC4">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所有材料上楼费</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1CBCAB12">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3A1F839C">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r>
      <w:tr w14:paraId="656E6675">
        <w:tblPrEx>
          <w:tblCellMar>
            <w:top w:w="0" w:type="dxa"/>
            <w:left w:w="108" w:type="dxa"/>
            <w:bottom w:w="0" w:type="dxa"/>
            <w:right w:w="108" w:type="dxa"/>
          </w:tblCellMar>
        </w:tblPrEx>
        <w:trPr>
          <w:trHeight w:val="240" w:hRule="atLeast"/>
        </w:trPr>
        <w:tc>
          <w:tcPr>
            <w:tcW w:w="644" w:type="dxa"/>
            <w:tcBorders>
              <w:top w:val="single" w:color="000000" w:sz="4" w:space="0"/>
              <w:left w:val="single" w:color="000000" w:sz="4" w:space="0"/>
              <w:bottom w:val="single" w:color="000000" w:sz="4" w:space="0"/>
              <w:right w:val="single" w:color="000000" w:sz="4" w:space="0"/>
            </w:tcBorders>
            <w:noWrap w:val="0"/>
            <w:vAlign w:val="center"/>
          </w:tcPr>
          <w:p w14:paraId="399E20BF">
            <w:pPr>
              <w:widowControl/>
              <w:jc w:val="center"/>
              <w:textAlignment w:val="center"/>
              <w:rPr>
                <w:rFonts w:hint="default" w:ascii="宋体" w:hAnsi="宋体" w:eastAsia="宋体" w:cs="宋体"/>
                <w:color w:val="000000"/>
                <w:sz w:val="18"/>
                <w:szCs w:val="18"/>
                <w:lang w:val="en-US" w:eastAsia="zh-CN"/>
              </w:rPr>
            </w:pPr>
            <w:r>
              <w:rPr>
                <w:rFonts w:hint="eastAsia" w:ascii="宋体" w:hAnsi="宋体" w:eastAsia="宋体" w:cs="宋体"/>
                <w:color w:val="000000"/>
                <w:kern w:val="0"/>
                <w:sz w:val="18"/>
                <w:szCs w:val="18"/>
                <w:lang w:val="en-US" w:eastAsia="zh-CN" w:bidi="ar"/>
              </w:rPr>
              <w:t>54</w:t>
            </w:r>
          </w:p>
        </w:tc>
        <w:tc>
          <w:tcPr>
            <w:tcW w:w="1304" w:type="dxa"/>
            <w:tcBorders>
              <w:top w:val="single" w:color="000000" w:sz="4" w:space="0"/>
              <w:left w:val="single" w:color="000000" w:sz="4" w:space="0"/>
              <w:bottom w:val="single" w:color="000000" w:sz="4" w:space="0"/>
              <w:right w:val="single" w:color="000000" w:sz="4" w:space="0"/>
            </w:tcBorders>
            <w:noWrap w:val="0"/>
            <w:vAlign w:val="center"/>
          </w:tcPr>
          <w:p w14:paraId="5F356BE8">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垃圾清运费</w:t>
            </w:r>
          </w:p>
        </w:tc>
        <w:tc>
          <w:tcPr>
            <w:tcW w:w="5207" w:type="dxa"/>
            <w:tcBorders>
              <w:top w:val="single" w:color="000000" w:sz="4" w:space="0"/>
              <w:left w:val="single" w:color="000000" w:sz="4" w:space="0"/>
              <w:bottom w:val="single" w:color="000000" w:sz="4" w:space="0"/>
              <w:right w:val="single" w:color="000000" w:sz="4" w:space="0"/>
            </w:tcBorders>
            <w:noWrap w:val="0"/>
            <w:vAlign w:val="center"/>
          </w:tcPr>
          <w:p w14:paraId="65A36A89">
            <w:pPr>
              <w:keepNext w:val="0"/>
              <w:keepLines w:val="0"/>
              <w:widowControl/>
              <w:suppressLineNumbers w:val="0"/>
              <w:jc w:val="left"/>
              <w:textAlignment w:val="center"/>
              <w:rPr>
                <w:rFonts w:hint="eastAsia" w:ascii="宋体" w:hAnsi="宋体" w:eastAsia="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垃圾运送到政府制定垃圾堆放点</w:t>
            </w:r>
          </w:p>
        </w:tc>
        <w:tc>
          <w:tcPr>
            <w:tcW w:w="675" w:type="dxa"/>
            <w:tcBorders>
              <w:top w:val="single" w:color="000000" w:sz="4" w:space="0"/>
              <w:left w:val="single" w:color="000000" w:sz="4" w:space="0"/>
              <w:bottom w:val="single" w:color="000000" w:sz="4" w:space="0"/>
              <w:right w:val="single" w:color="000000" w:sz="4" w:space="0"/>
            </w:tcBorders>
            <w:noWrap w:val="0"/>
            <w:vAlign w:val="center"/>
          </w:tcPr>
          <w:p w14:paraId="4207AAEA">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项</w:t>
            </w:r>
          </w:p>
        </w:tc>
        <w:tc>
          <w:tcPr>
            <w:tcW w:w="692" w:type="dxa"/>
            <w:gridSpan w:val="2"/>
            <w:tcBorders>
              <w:top w:val="single" w:color="000000" w:sz="4" w:space="0"/>
              <w:left w:val="single" w:color="000000" w:sz="4" w:space="0"/>
              <w:bottom w:val="single" w:color="000000" w:sz="4" w:space="0"/>
              <w:right w:val="single" w:color="000000" w:sz="4" w:space="0"/>
            </w:tcBorders>
            <w:noWrap w:val="0"/>
            <w:vAlign w:val="center"/>
          </w:tcPr>
          <w:p w14:paraId="7DF5A574">
            <w:pPr>
              <w:widowControl/>
              <w:jc w:val="center"/>
              <w:textAlignment w:val="center"/>
              <w:rPr>
                <w:rFonts w:hint="eastAsia" w:ascii="宋体" w:hAnsi="宋体" w:eastAsia="宋体" w:cs="宋体"/>
                <w:color w:val="000000"/>
                <w:sz w:val="18"/>
                <w:szCs w:val="18"/>
              </w:rPr>
            </w:pPr>
            <w:r>
              <w:rPr>
                <w:rFonts w:hint="eastAsia" w:ascii="宋体" w:hAnsi="宋体" w:eastAsia="宋体" w:cs="宋体"/>
                <w:color w:val="000000"/>
                <w:kern w:val="0"/>
                <w:sz w:val="18"/>
                <w:szCs w:val="18"/>
                <w:lang w:bidi="ar"/>
              </w:rPr>
              <w:t>1</w:t>
            </w:r>
          </w:p>
        </w:tc>
      </w:tr>
    </w:tbl>
    <w:p w14:paraId="485FABE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FB0825"/>
    <w:rsid w:val="1C5F1E8D"/>
    <w:rsid w:val="334A7032"/>
    <w:rsid w:val="36117BEB"/>
    <w:rsid w:val="67FB08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8"/>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20043</Words>
  <Characters>22326</Characters>
  <Lines>0</Lines>
  <Paragraphs>0</Paragraphs>
  <TotalTime>0</TotalTime>
  <ScaleCrop>false</ScaleCrop>
  <LinksUpToDate>false</LinksUpToDate>
  <CharactersWithSpaces>22994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2025-08-27T09:37:00Z</dcterms:created>
  <dc:creator>招标中心</dc:creator>
  <cp:lastModifiedBy>招标中心</cp:lastModifiedBy>
  <dcterms:modified xsi:type="dcterms:W3CDTF">2025-09-02T04:45:43Z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CA95A2BC9AA04857AD0FC607F3040615_11</vt:lpwstr>
  </property>
  <property fmtid="{D5CDD505-2E9C-101B-9397-08002B2CF9AE}" pid="4" name="KSOTemplateDocerSaveRecord">
    <vt:lpwstr>eyJoZGlkIjoiODJlM2RmOWQzZmQ0YTJjZTZhNDhjMWIyZmUxNGU2NTAiLCJ1c2VySWQiOiIxNTk1MDQ5MjkwIn0=</vt:lpwstr>
  </property>
</Properties>
</file>